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微软雅黑" w:hAnsi="微软雅黑" w:eastAsia="微软雅黑" w:cs="微软雅黑"/>
          <w:color w:val="auto"/>
          <w:sz w:val="44"/>
          <w:szCs w:val="52"/>
        </w:rPr>
      </w:pPr>
      <w:r>
        <w:rPr>
          <w:rFonts w:hint="eastAsia" w:eastAsia="黑体"/>
          <w:snapToGrid w:val="0"/>
          <w:color w:val="auto"/>
          <w:sz w:val="32"/>
          <w:szCs w:val="32"/>
        </w:rPr>
        <w:t>注：黑体字部分为拟增加内容，阴影部分为拟删除内容。</w:t>
      </w:r>
    </w:p>
    <w:p>
      <w:pPr>
        <w:keepNext w:val="0"/>
        <w:keepLines w:val="0"/>
        <w:pageBreakBefore w:val="0"/>
        <w:widowControl w:val="0"/>
        <w:kinsoku/>
        <w:wordWrap/>
        <w:overflowPunct/>
        <w:topLinePunct w:val="0"/>
        <w:bidi w:val="0"/>
        <w:snapToGrid/>
        <w:spacing w:line="600" w:lineRule="exact"/>
        <w:jc w:val="center"/>
        <w:textAlignment w:val="auto"/>
        <w:rPr>
          <w:rFonts w:ascii="微软雅黑" w:hAnsi="微软雅黑" w:eastAsia="微软雅黑" w:cs="微软雅黑"/>
          <w:color w:val="auto"/>
          <w:sz w:val="44"/>
          <w:szCs w:val="52"/>
        </w:rPr>
      </w:pPr>
    </w:p>
    <w:p>
      <w:pPr>
        <w:keepNext w:val="0"/>
        <w:keepLines w:val="0"/>
        <w:pageBreakBefore w:val="0"/>
        <w:widowControl w:val="0"/>
        <w:kinsoku/>
        <w:wordWrap/>
        <w:overflowPunct/>
        <w:topLinePunct w:val="0"/>
        <w:bidi w:val="0"/>
        <w:snapToGrid/>
        <w:spacing w:line="600" w:lineRule="exact"/>
        <w:jc w:val="center"/>
        <w:textAlignment w:val="auto"/>
        <w:rPr>
          <w:rFonts w:hint="eastAsia" w:ascii="方正小标宋_GBK" w:hAnsi="方正小标宋_GBK" w:eastAsia="方正小标宋_GBK" w:cs="方正小标宋_GBK"/>
          <w:color w:val="auto"/>
          <w:spacing w:val="-20"/>
          <w:sz w:val="44"/>
          <w:szCs w:val="52"/>
        </w:rPr>
      </w:pPr>
      <w:r>
        <w:rPr>
          <w:rFonts w:hint="eastAsia" w:ascii="方正小标宋_GBK" w:hAnsi="方正小标宋_GBK" w:eastAsia="方正小标宋_GBK" w:cs="方正小标宋_GBK"/>
          <w:color w:val="auto"/>
          <w:spacing w:val="-20"/>
          <w:sz w:val="44"/>
          <w:szCs w:val="52"/>
        </w:rPr>
        <w:t>昆山深化两岸产业合作试验区条例</w:t>
      </w:r>
    </w:p>
    <w:p>
      <w:pPr>
        <w:keepNext w:val="0"/>
        <w:keepLines w:val="0"/>
        <w:pageBreakBefore w:val="0"/>
        <w:widowControl w:val="0"/>
        <w:kinsoku/>
        <w:wordWrap/>
        <w:overflowPunct/>
        <w:topLinePunct w:val="0"/>
        <w:bidi w:val="0"/>
        <w:snapToGrid/>
        <w:spacing w:line="600" w:lineRule="exact"/>
        <w:jc w:val="center"/>
        <w:textAlignment w:val="auto"/>
        <w:rPr>
          <w:rFonts w:hint="eastAsia" w:ascii="方正小标宋_GBK" w:hAnsi="方正小标宋_GBK" w:eastAsia="方正小标宋_GBK" w:cs="方正小标宋_GBK"/>
          <w:color w:val="auto"/>
          <w:spacing w:val="-20"/>
          <w:sz w:val="44"/>
          <w:szCs w:val="52"/>
        </w:rPr>
      </w:pPr>
      <w:bookmarkStart w:id="0" w:name="_GoBack"/>
      <w:bookmarkEnd w:id="0"/>
      <w:r>
        <w:rPr>
          <w:rFonts w:hint="eastAsia" w:ascii="方正小标宋_GBK" w:hAnsi="方正小标宋_GBK" w:eastAsia="方正小标宋_GBK" w:cs="方正小标宋_GBK"/>
          <w:color w:val="auto"/>
          <w:spacing w:val="-20"/>
          <w:sz w:val="44"/>
          <w:szCs w:val="52"/>
        </w:rPr>
        <w:t>（修</w:t>
      </w:r>
      <w:r>
        <w:rPr>
          <w:rFonts w:hint="eastAsia" w:ascii="方正小标宋_GBK" w:hAnsi="方正小标宋_GBK" w:eastAsia="方正小标宋_GBK" w:cs="方正小标宋_GBK"/>
          <w:color w:val="auto"/>
          <w:spacing w:val="-20"/>
          <w:sz w:val="44"/>
          <w:szCs w:val="52"/>
          <w:lang w:val="en-US" w:eastAsia="zh-CN"/>
        </w:rPr>
        <w:t>正</w:t>
      </w:r>
      <w:r>
        <w:rPr>
          <w:rFonts w:hint="eastAsia" w:ascii="方正小标宋_GBK" w:hAnsi="方正小标宋_GBK" w:eastAsia="方正小标宋_GBK" w:cs="方正小标宋_GBK"/>
          <w:color w:val="auto"/>
          <w:spacing w:val="-20"/>
          <w:sz w:val="44"/>
          <w:szCs w:val="52"/>
        </w:rPr>
        <w:t>草案</w:t>
      </w:r>
      <w:r>
        <w:rPr>
          <w:rFonts w:hint="eastAsia" w:ascii="方正小标宋_GBK" w:hAnsi="方正小标宋_GBK" w:eastAsia="方正小标宋_GBK" w:cs="方正小标宋_GBK"/>
          <w:color w:val="auto"/>
          <w:spacing w:val="-20"/>
          <w:sz w:val="44"/>
          <w:szCs w:val="52"/>
          <w:lang w:eastAsia="zh-CN"/>
        </w:rPr>
        <w:t>征求意见稿</w:t>
      </w:r>
      <w:r>
        <w:rPr>
          <w:rFonts w:hint="eastAsia" w:ascii="方正小标宋_GBK" w:hAnsi="方正小标宋_GBK" w:eastAsia="方正小标宋_GBK" w:cs="方正小标宋_GBK"/>
          <w:color w:val="auto"/>
          <w:spacing w:val="-20"/>
          <w:sz w:val="44"/>
          <w:szCs w:val="52"/>
        </w:rPr>
        <w:t>）</w:t>
      </w:r>
    </w:p>
    <w:p>
      <w:pPr>
        <w:keepNext w:val="0"/>
        <w:keepLines w:val="0"/>
        <w:pageBreakBefore w:val="0"/>
        <w:widowControl w:val="0"/>
        <w:kinsoku/>
        <w:wordWrap/>
        <w:overflowPunct/>
        <w:topLinePunct w:val="0"/>
        <w:bidi w:val="0"/>
        <w:snapToGrid/>
        <w:spacing w:line="600" w:lineRule="exact"/>
        <w:textAlignment w:val="auto"/>
        <w:rPr>
          <w:rFonts w:ascii="楷体_GB2312" w:hAnsi="楷体_GB2312" w:eastAsia="楷体_GB2312" w:cs="楷体_GB2312"/>
          <w:color w:val="auto"/>
          <w:sz w:val="32"/>
          <w:szCs w:val="40"/>
        </w:rPr>
      </w:pPr>
    </w:p>
    <w:p>
      <w:pPr>
        <w:spacing w:line="600" w:lineRule="exact"/>
        <w:jc w:val="center"/>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 xml:space="preserve">目  录　                                                   </w:t>
      </w:r>
    </w:p>
    <w:p>
      <w:pPr>
        <w:spacing w:line="600"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第一章 总则</w:t>
      </w:r>
    </w:p>
    <w:p>
      <w:pPr>
        <w:spacing w:line="600"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第二章 管理体制</w:t>
      </w:r>
    </w:p>
    <w:p>
      <w:pPr>
        <w:spacing w:line="600"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第三章 开发建设</w:t>
      </w:r>
    </w:p>
    <w:p>
      <w:pPr>
        <w:spacing w:line="600"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第四章 产业发展</w:t>
      </w:r>
    </w:p>
    <w:p>
      <w:pPr>
        <w:spacing w:line="600"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第五章 投资贸易</w:t>
      </w:r>
    </w:p>
    <w:p>
      <w:pPr>
        <w:spacing w:line="600"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第六章 金融财税</w:t>
      </w:r>
    </w:p>
    <w:p>
      <w:pPr>
        <w:spacing w:line="600"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第七章 人才科创</w:t>
      </w:r>
    </w:p>
    <w:p>
      <w:pPr>
        <w:spacing w:line="600"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第八章 社会服务</w:t>
      </w:r>
    </w:p>
    <w:p>
      <w:pPr>
        <w:spacing w:line="600" w:lineRule="exact"/>
        <w:ind w:firstLine="640" w:firstLineChars="200"/>
        <w:rPr>
          <w:rFonts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第九章 法治环境</w:t>
      </w:r>
    </w:p>
    <w:p>
      <w:pPr>
        <w:spacing w:line="600" w:lineRule="exact"/>
        <w:ind w:firstLine="640" w:firstLineChars="200"/>
        <w:rPr>
          <w:rFonts w:hint="eastAsia" w:ascii="楷体_GB2312" w:hAnsi="楷体_GB2312" w:eastAsia="楷体_GB2312" w:cs="楷体_GB2312"/>
          <w:color w:val="auto"/>
          <w:sz w:val="32"/>
          <w:szCs w:val="40"/>
        </w:rPr>
      </w:pPr>
      <w:r>
        <w:rPr>
          <w:rFonts w:hint="eastAsia" w:ascii="楷体_GB2312" w:hAnsi="楷体_GB2312" w:eastAsia="楷体_GB2312" w:cs="楷体_GB2312"/>
          <w:color w:val="auto"/>
          <w:sz w:val="32"/>
          <w:szCs w:val="40"/>
        </w:rPr>
        <w:t>第十章 附则</w:t>
      </w:r>
    </w:p>
    <w:p>
      <w:pPr>
        <w:spacing w:line="600" w:lineRule="exact"/>
        <w:rPr>
          <w:color w:val="auto"/>
        </w:rPr>
      </w:pPr>
      <w:r>
        <w:rPr>
          <w:color w:val="auto"/>
        </w:rPr>
        <w:br w:type="page"/>
      </w:r>
    </w:p>
    <w:p>
      <w:pPr>
        <w:keepNext w:val="0"/>
        <w:keepLines w:val="0"/>
        <w:pageBreakBefore w:val="0"/>
        <w:widowControl w:val="0"/>
        <w:kinsoku/>
        <w:wordWrap/>
        <w:overflowPunct/>
        <w:topLinePunct w:val="0"/>
        <w:bidi w:val="0"/>
        <w:snapToGrid/>
        <w:spacing w:line="60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总则</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hint="eastAsia" w:ascii="黑体" w:hAnsi="黑体" w:eastAsia="黑体" w:cs="黑体"/>
          <w:color w:val="auto"/>
          <w:sz w:val="32"/>
          <w:szCs w:val="32"/>
        </w:rPr>
        <w:t>第一条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为了推进和保障昆山深化两岸产业合作试验区建设，促进两岸交流合作，深化两岸融合发展，根据有关法律、行政法规和国务院相关批复，结合实际，制定本条例。</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第二条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昆山深化两岸产业合作试验区（以下简称试验区）坚持改革创新、开放合作、先行先试、互利共赢的原则，探索全方位高水平开放的新机制、新路径、新模式，建设成为两岸产业合作转型升级的先行先试区、两岸中小企业深度合作的重要载体、两岸交流合作模式创新的示范平台。</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第三条</w:t>
      </w:r>
      <w:r>
        <w:rPr>
          <w:rFonts w:hint="eastAsia" w:ascii="黑体" w:hAnsi="黑体" w:eastAsia="黑体" w:cs="黑体"/>
          <w:color w:val="auto"/>
          <w:sz w:val="32"/>
          <w:szCs w:val="32"/>
          <w:lang w:val="en-US" w:eastAsia="zh-CN"/>
        </w:rPr>
        <w:t xml:space="preserve">  </w:t>
      </w:r>
      <w:r>
        <w:rPr>
          <w:rFonts w:ascii="Times New Roman" w:hAnsi="Times New Roman" w:eastAsia="仿宋_GB2312" w:cs="Times New Roman"/>
          <w:color w:val="auto"/>
          <w:sz w:val="32"/>
          <w:szCs w:val="32"/>
        </w:rPr>
        <w:t>鼓励和支持试验区在现行法治框架内先行先试，探索改革创新。</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对在试验区改革创新中作出突出贡献的单位和个人，由省人民政府根据有关规定予以表扬和奖励。</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对国家机关及其工作人员在试验区改革创新中出现失误，但是改革创新举措符合国家和本省确定的改革方向，</w:t>
      </w:r>
      <w:r>
        <w:rPr>
          <w:rFonts w:hint="eastAsia" w:ascii="Times New Roman" w:hAnsi="Times New Roman" w:eastAsia="仿宋_GB2312" w:cs="Times New Roman"/>
          <w:i w:val="0"/>
          <w:iCs w:val="0"/>
          <w:caps w:val="0"/>
          <w:color w:val="auto"/>
          <w:spacing w:val="0"/>
          <w:kern w:val="2"/>
          <w:sz w:val="32"/>
          <w:szCs w:val="32"/>
          <w:u w:val="none"/>
          <w:shd w:val="clear"/>
          <w:lang w:val="en-US" w:eastAsia="zh-CN" w:bidi="ar"/>
        </w:rPr>
        <w:t>决策程序符合规定，</w:t>
      </w:r>
      <w:r>
        <w:rPr>
          <w:rFonts w:ascii="Times New Roman" w:hAnsi="Times New Roman" w:eastAsia="仿宋_GB2312" w:cs="Times New Roman"/>
          <w:i w:val="0"/>
          <w:iCs w:val="0"/>
          <w:caps w:val="0"/>
          <w:color w:val="auto"/>
          <w:spacing w:val="0"/>
          <w:kern w:val="2"/>
          <w:sz w:val="32"/>
          <w:szCs w:val="32"/>
          <w:u w:val="none"/>
          <w:shd w:val="clear" w:fill="auto"/>
          <w:lang w:val="en-US" w:eastAsia="zh-CN" w:bidi="ar"/>
        </w:rPr>
        <w:t>且勤勉尽责、未牟取私利的</w:t>
      </w:r>
      <w:r>
        <w:rPr>
          <w:rFonts w:hint="eastAsia" w:ascii="Times New Roman" w:hAnsi="Times New Roman" w:eastAsia="仿宋_GB2312" w:cs="Times New Roman"/>
          <w:i w:val="0"/>
          <w:iCs w:val="0"/>
          <w:caps w:val="0"/>
          <w:color w:val="auto"/>
          <w:spacing w:val="0"/>
          <w:kern w:val="2"/>
          <w:sz w:val="32"/>
          <w:szCs w:val="32"/>
          <w:u w:val="none"/>
          <w:shd w:val="clear"/>
          <w:lang w:val="en-US" w:eastAsia="zh-CN" w:bidi="ar"/>
        </w:rPr>
        <w:t>，</w:t>
      </w:r>
      <w:r>
        <w:rPr>
          <w:rFonts w:hint="default" w:ascii="Times New Roman" w:hAnsi="Times New Roman" w:eastAsia="仿宋_GB2312" w:cs="Times New Roman"/>
          <w:color w:val="auto"/>
          <w:sz w:val="32"/>
          <w:szCs w:val="40"/>
          <w:shd w:val="clear" w:color="FFFFFF" w:fill="D9D9D9"/>
        </w:rPr>
        <w:t>依法免予追究责任</w:t>
      </w:r>
      <w:r>
        <w:rPr>
          <w:rFonts w:hint="eastAsia" w:ascii="黑体" w:hAnsi="黑体" w:eastAsia="黑体" w:cs="黑体"/>
          <w:i w:val="0"/>
          <w:iCs w:val="0"/>
          <w:caps w:val="0"/>
          <w:color w:val="auto"/>
          <w:spacing w:val="0"/>
          <w:kern w:val="2"/>
          <w:sz w:val="32"/>
          <w:szCs w:val="32"/>
          <w:highlight w:val="none"/>
          <w:u w:val="none"/>
          <w:shd w:val="clear"/>
          <w:lang w:val="en-US" w:eastAsia="zh-CN" w:bidi="ar"/>
        </w:rPr>
        <w:t>依法不予、免予追究责任或者从轻、减轻追究责任。</w:t>
      </w:r>
    </w:p>
    <w:p>
      <w:pPr>
        <w:keepNext w:val="0"/>
        <w:keepLines w:val="0"/>
        <w:pageBreakBefore w:val="0"/>
        <w:widowControl w:val="0"/>
        <w:kinsoku/>
        <w:wordWrap/>
        <w:overflowPunct/>
        <w:topLinePunct w:val="0"/>
        <w:bidi w:val="0"/>
        <w:snapToGrid/>
        <w:spacing w:line="600" w:lineRule="exact"/>
        <w:ind w:firstLine="665"/>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bidi w:val="0"/>
        <w:snapToGrid/>
        <w:spacing w:line="600" w:lineRule="exact"/>
        <w:jc w:val="center"/>
        <w:textAlignment w:val="auto"/>
        <w:rPr>
          <w:rFonts w:ascii="黑体" w:hAnsi="黑体" w:eastAsia="黑体" w:cs="黑体"/>
          <w:color w:val="auto"/>
          <w:sz w:val="32"/>
          <w:szCs w:val="32"/>
        </w:rPr>
      </w:pPr>
      <w:r>
        <w:rPr>
          <w:rFonts w:ascii="黑体" w:hAnsi="黑体" w:eastAsia="黑体" w:cs="黑体"/>
          <w:color w:val="auto"/>
          <w:sz w:val="32"/>
          <w:szCs w:val="32"/>
        </w:rPr>
        <w:t>第二章</w:t>
      </w:r>
      <w:r>
        <w:rPr>
          <w:rFonts w:hint="eastAsia" w:ascii="黑体" w:hAnsi="黑体" w:eastAsia="黑体" w:cs="黑体"/>
          <w:color w:val="auto"/>
          <w:sz w:val="32"/>
          <w:szCs w:val="32"/>
          <w:lang w:val="en-US" w:eastAsia="zh-CN"/>
        </w:rPr>
        <w:t xml:space="preserve">  </w:t>
      </w:r>
      <w:r>
        <w:rPr>
          <w:rFonts w:ascii="黑体" w:hAnsi="黑体" w:eastAsia="黑体" w:cs="黑体"/>
          <w:color w:val="auto"/>
          <w:sz w:val="32"/>
          <w:szCs w:val="32"/>
        </w:rPr>
        <w:t>管理体制</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第四条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试验区应当</w:t>
      </w:r>
      <w:r>
        <w:rPr>
          <w:rFonts w:hint="default" w:ascii="Times New Roman" w:hAnsi="Times New Roman" w:eastAsia="仿宋_GB2312" w:cs="Times New Roman"/>
          <w:color w:val="auto"/>
          <w:sz w:val="32"/>
          <w:szCs w:val="32"/>
          <w:lang w:eastAsia="zh-CN"/>
        </w:rPr>
        <w:t>坚持简政放权、放管结合、优化服务的原则</w:t>
      </w:r>
      <w:r>
        <w:rPr>
          <w:rFonts w:ascii="Times New Roman" w:hAnsi="Times New Roman" w:eastAsia="仿宋_GB2312" w:cs="Times New Roman"/>
          <w:color w:val="auto"/>
          <w:sz w:val="32"/>
          <w:szCs w:val="32"/>
        </w:rPr>
        <w:t>，建立事权划分科学、结构扁平优化、管理高效统一、运行公开透明的行政管理体制。</w:t>
      </w:r>
    </w:p>
    <w:p>
      <w:pPr>
        <w:keepNext w:val="0"/>
        <w:keepLines w:val="0"/>
        <w:pageBreakBefore w:val="0"/>
        <w:widowControl w:val="0"/>
        <w:kinsoku/>
        <w:wordWrap/>
        <w:overflowPunct/>
        <w:topLinePunct w:val="0"/>
        <w:bidi w:val="0"/>
        <w:snapToGrid/>
        <w:spacing w:line="600" w:lineRule="exact"/>
        <w:ind w:firstLine="647"/>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第五条</w:t>
      </w:r>
      <w:r>
        <w:rPr>
          <w:rFonts w:hint="eastAsia" w:ascii="Times New Roman" w:hAnsi="Times New Roman" w:eastAsia="仿宋_GB2312" w:cs="Times New Roman"/>
          <w:color w:val="auto"/>
          <w:sz w:val="32"/>
          <w:szCs w:val="32"/>
          <w:lang w:val="en-US" w:eastAsia="zh-CN"/>
        </w:rPr>
        <w:t xml:space="preserve">  </w:t>
      </w:r>
      <w:r>
        <w:rPr>
          <w:rFonts w:eastAsia="仿宋_GB2312"/>
          <w:color w:val="auto"/>
          <w:sz w:val="32"/>
          <w:szCs w:val="32"/>
          <w:highlight w:val="none"/>
        </w:rPr>
        <w:t>省人民政府应当加强对试验区工作的领导，</w:t>
      </w:r>
      <w:r>
        <w:rPr>
          <w:rFonts w:eastAsia="仿宋_GB2312"/>
          <w:color w:val="auto"/>
          <w:sz w:val="32"/>
          <w:szCs w:val="32"/>
          <w:highlight w:val="none"/>
          <w:shd w:val="clear" w:color="FFFFFF" w:fill="D9D9D9"/>
        </w:rPr>
        <w:t>通过试验区议事协调机制</w:t>
      </w:r>
      <w:r>
        <w:rPr>
          <w:rFonts w:eastAsia="仿宋_GB2312"/>
          <w:color w:val="auto"/>
          <w:sz w:val="32"/>
          <w:szCs w:val="32"/>
          <w:highlight w:val="none"/>
        </w:rPr>
        <w:t>统筹协调试验区建设，研究决定试验区改革发展的重大事项。省发展和改革部门承担试验区</w:t>
      </w:r>
      <w:r>
        <w:rPr>
          <w:rFonts w:hint="eastAsia" w:ascii="黑体" w:hAnsi="黑体" w:eastAsia="黑体" w:cs="黑体"/>
          <w:color w:val="auto"/>
          <w:sz w:val="32"/>
          <w:szCs w:val="32"/>
          <w:highlight w:val="none"/>
          <w:lang w:val="en-US" w:eastAsia="zh-CN"/>
        </w:rPr>
        <w:t>建设具体协调</w:t>
      </w:r>
      <w:r>
        <w:rPr>
          <w:rFonts w:hint="eastAsia" w:eastAsia="仿宋_GB2312"/>
          <w:color w:val="auto"/>
          <w:sz w:val="32"/>
          <w:szCs w:val="32"/>
          <w:highlight w:val="none"/>
          <w:shd w:val="clear" w:color="FFFFFF" w:fill="D9D9D9"/>
          <w:lang w:val="en-US" w:eastAsia="zh-CN"/>
        </w:rPr>
        <w:t>议事协调日常</w:t>
      </w:r>
      <w:r>
        <w:rPr>
          <w:rFonts w:eastAsia="仿宋_GB2312"/>
          <w:color w:val="auto"/>
          <w:sz w:val="32"/>
          <w:szCs w:val="32"/>
          <w:highlight w:val="none"/>
        </w:rPr>
        <w:t>工作，省人民政府台湾事务办事机构协同做好相关工作。</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省人民政府应当通过试验区部省际联席会议机制，争取国家对试验区发展的政策支持，协调国家有关部门推动试验区先行先试、创新发展。</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第六条</w:t>
      </w:r>
      <w:r>
        <w:rPr>
          <w:rFonts w:hint="eastAsia" w:ascii="黑体" w:hAnsi="黑体" w:eastAsia="黑体" w:cs="黑体"/>
          <w:color w:val="auto"/>
          <w:sz w:val="32"/>
          <w:szCs w:val="32"/>
          <w:lang w:val="en-US" w:eastAsia="zh-CN"/>
        </w:rPr>
        <w:t xml:space="preserve">  </w:t>
      </w:r>
      <w:r>
        <w:rPr>
          <w:rFonts w:ascii="Times New Roman" w:hAnsi="Times New Roman" w:eastAsia="仿宋_GB2312" w:cs="仿宋_GB2312"/>
          <w:color w:val="auto"/>
          <w:sz w:val="32"/>
          <w:szCs w:val="32"/>
        </w:rPr>
        <w:t>省人民政府</w:t>
      </w:r>
      <w:r>
        <w:rPr>
          <w:rFonts w:hint="eastAsia" w:ascii="Times New Roman" w:hAnsi="Times New Roman" w:eastAsia="仿宋_GB2312" w:cs="仿宋_GB2312"/>
          <w:color w:val="auto"/>
          <w:sz w:val="32"/>
          <w:szCs w:val="32"/>
        </w:rPr>
        <w:t>支持试验区</w:t>
      </w:r>
      <w:r>
        <w:rPr>
          <w:rFonts w:hint="eastAsia" w:ascii="Times New Roman" w:hAnsi="Times New Roman" w:eastAsia="仿宋_GB2312" w:cs="仿宋_GB2312"/>
          <w:color w:val="auto"/>
          <w:sz w:val="32"/>
          <w:szCs w:val="32"/>
          <w:lang w:eastAsia="zh-CN"/>
        </w:rPr>
        <w:t>创新行政管理体制机制，推动</w:t>
      </w:r>
      <w:r>
        <w:rPr>
          <w:rFonts w:hint="eastAsia" w:ascii="仿宋_GB2312" w:hAnsi="Times New Roman" w:eastAsia="仿宋_GB2312" w:cs="Times New Roman"/>
          <w:snapToGrid w:val="0"/>
          <w:color w:val="auto"/>
          <w:kern w:val="0"/>
          <w:sz w:val="32"/>
          <w:szCs w:val="32"/>
          <w:shd w:val="clear" w:color="FFFFFF" w:fill="D9D9D9"/>
          <w:lang w:eastAsia="zh-CN"/>
        </w:rPr>
        <w:t>建立</w:t>
      </w:r>
      <w:r>
        <w:rPr>
          <w:rFonts w:hint="eastAsia" w:ascii="Times New Roman" w:hAnsi="Times New Roman" w:eastAsia="仿宋_GB2312" w:cs="仿宋_GB2312"/>
          <w:color w:val="auto"/>
          <w:sz w:val="32"/>
          <w:szCs w:val="32"/>
          <w:lang w:eastAsia="zh-CN"/>
        </w:rPr>
        <w:t>试验区与行政区</w:t>
      </w:r>
      <w:r>
        <w:rPr>
          <w:rFonts w:hint="eastAsia" w:ascii="仿宋_GB2312" w:hAnsi="Times New Roman" w:eastAsia="仿宋_GB2312" w:cs="Times New Roman"/>
          <w:snapToGrid w:val="0"/>
          <w:color w:val="auto"/>
          <w:kern w:val="0"/>
          <w:sz w:val="32"/>
          <w:szCs w:val="32"/>
          <w:shd w:val="clear" w:color="FFFFFF" w:fill="D9D9D9"/>
          <w:lang w:eastAsia="zh-CN"/>
        </w:rPr>
        <w:t>一体化治理模式</w:t>
      </w:r>
      <w:r>
        <w:rPr>
          <w:rFonts w:hint="eastAsia" w:ascii="黑体" w:hAnsi="黑体" w:eastAsia="黑体" w:cs="黑体"/>
          <w:color w:val="auto"/>
          <w:sz w:val="32"/>
          <w:szCs w:val="32"/>
        </w:rPr>
        <w:t>融合发展</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省人民政府、苏州市人民政府采用赋权清单形式，在试验区内赋予昆山市人民政府有关省和设区的市经济社会管理权限。对下放的权力事项同步调整监管层级，对委托的权力事项依法履行委托手续，并明确事中事后监管措施。</w:t>
      </w:r>
    </w:p>
    <w:p>
      <w:pPr>
        <w:keepNext w:val="0"/>
        <w:keepLines w:val="0"/>
        <w:pageBreakBefore w:val="0"/>
        <w:widowControl w:val="0"/>
        <w:kinsoku/>
        <w:wordWrap/>
        <w:overflowPunct/>
        <w:topLinePunct w:val="0"/>
        <w:bidi w:val="0"/>
        <w:snapToGrid/>
        <w:spacing w:line="600" w:lineRule="exact"/>
        <w:ind w:firstLine="647"/>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昆山市人民政府</w:t>
      </w:r>
      <w:r>
        <w:rPr>
          <w:rFonts w:ascii="Times New Roman" w:hAnsi="Times New Roman" w:eastAsia="仿宋_GB2312" w:cs="仿宋_GB2312"/>
          <w:color w:val="auto"/>
          <w:sz w:val="32"/>
          <w:szCs w:val="32"/>
        </w:rPr>
        <w:t>行使省级、设区的市经济社会管理权限的具体目录和实施机构，应当向社会公布。</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第七条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省人民政府、苏州市人民政府应当支持试验区与中国（江苏）自由贸易试验区联动创新发展，促进试验区与自由贸易试验区在制度创新、开放创新、金融创新、科技创新等方面的融合，推动人才、资本、科技、资源的有机联动。</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省人民政府、苏州市人民政府支持自由贸易试验区发展的有关政策以及相关试点活动，可以授权在试验区同步推进。</w:t>
      </w:r>
    </w:p>
    <w:p>
      <w:pPr>
        <w:keepNext w:val="0"/>
        <w:keepLines w:val="0"/>
        <w:pageBreakBefore w:val="0"/>
        <w:widowControl w:val="0"/>
        <w:kinsoku/>
        <w:wordWrap/>
        <w:overflowPunct/>
        <w:topLinePunct w:val="0"/>
        <w:bidi w:val="0"/>
        <w:snapToGrid/>
        <w:spacing w:line="600" w:lineRule="exact"/>
        <w:textAlignment w:val="auto"/>
        <w:rPr>
          <w:rFonts w:eastAsia="仿宋_GB2312" w:cs="仿宋_GB2312"/>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第八条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shd w:val="clear" w:color="auto" w:fill="auto"/>
          <w:lang w:val="en-US" w:eastAsia="zh-CN"/>
        </w:rPr>
        <w:t xml:space="preserve"> </w:t>
      </w:r>
      <w:r>
        <w:rPr>
          <w:rFonts w:hint="eastAsia" w:ascii="仿宋_GB2312" w:hAnsi="Times New Roman" w:eastAsia="仿宋_GB2312" w:cs="Times New Roman"/>
          <w:snapToGrid w:val="0"/>
          <w:color w:val="auto"/>
          <w:kern w:val="0"/>
          <w:sz w:val="32"/>
          <w:szCs w:val="32"/>
          <w:shd w:val="clear" w:color="auto" w:fill="auto"/>
          <w:lang w:eastAsia="zh-CN"/>
        </w:rPr>
        <w:t>昆山市人民政府</w:t>
      </w:r>
      <w:r>
        <w:rPr>
          <w:rFonts w:eastAsia="仿宋_GB2312" w:cs="仿宋_GB2312"/>
          <w:color w:val="auto"/>
          <w:sz w:val="32"/>
          <w:szCs w:val="32"/>
        </w:rPr>
        <w:t>具体负责试验区的开发、建设、管理和服务等事务。</w:t>
      </w:r>
    </w:p>
    <w:p>
      <w:pPr>
        <w:keepNext w:val="0"/>
        <w:keepLines w:val="0"/>
        <w:pageBreakBefore w:val="0"/>
        <w:widowControl/>
        <w:kinsoku/>
        <w:wordWrap/>
        <w:overflowPunct/>
        <w:topLinePunct w:val="0"/>
        <w:bidi w:val="0"/>
        <w:snapToGrid/>
        <w:spacing w:line="240" w:lineRule="auto"/>
        <w:ind w:firstLine="640" w:firstLineChars="200"/>
        <w:textAlignment w:val="auto"/>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40"/>
          <w:shd w:val="clear" w:color="FFFFFF" w:fill="D9D9D9"/>
        </w:rPr>
        <w:t>根据优化行政管理和加强社会服务需要，可以依法在试验区设立街道办事处。</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第九条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支持试验区创新选人用人机制，建立灵活的人员交流、职务任免、绩效激励等机制。</w:t>
      </w:r>
    </w:p>
    <w:p>
      <w:pPr>
        <w:keepNext w:val="0"/>
        <w:keepLines w:val="0"/>
        <w:pageBreakBefore w:val="0"/>
        <w:widowControl w:val="0"/>
        <w:kinsoku/>
        <w:wordWrap/>
        <w:overflowPunct/>
        <w:topLinePunct w:val="0"/>
        <w:bidi w:val="0"/>
        <w:snapToGrid/>
        <w:spacing w:line="600" w:lineRule="exact"/>
        <w:ind w:firstLine="64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试验区可以设立由台湾地区和其他境内外相关团体、知名人士、专家学者等组成的顾问机构，为试验区建设和发展提供咨询。</w:t>
      </w:r>
    </w:p>
    <w:p>
      <w:pPr>
        <w:keepNext w:val="0"/>
        <w:keepLines w:val="0"/>
        <w:pageBreakBefore w:val="0"/>
        <w:widowControl w:val="0"/>
        <w:kinsoku/>
        <w:wordWrap/>
        <w:overflowPunct/>
        <w:topLinePunct w:val="0"/>
        <w:bidi w:val="0"/>
        <w:snapToGrid/>
        <w:spacing w:line="600" w:lineRule="exact"/>
        <w:ind w:firstLine="640"/>
        <w:textAlignment w:val="auto"/>
        <w:rPr>
          <w:rFonts w:ascii="黑体" w:hAnsi="黑体" w:eastAsia="黑体" w:cs="黑体"/>
          <w:color w:val="auto"/>
          <w:sz w:val="32"/>
          <w:szCs w:val="32"/>
        </w:rPr>
      </w:pPr>
    </w:p>
    <w:p>
      <w:pPr>
        <w:keepNext w:val="0"/>
        <w:keepLines w:val="0"/>
        <w:pageBreakBefore w:val="0"/>
        <w:widowControl w:val="0"/>
        <w:kinsoku/>
        <w:wordWrap/>
        <w:overflowPunct/>
        <w:topLinePunct w:val="0"/>
        <w:bidi w:val="0"/>
        <w:snapToGrid/>
        <w:spacing w:line="600" w:lineRule="exact"/>
        <w:jc w:val="center"/>
        <w:textAlignment w:val="auto"/>
        <w:rPr>
          <w:rFonts w:ascii="黑体" w:hAnsi="黑体" w:eastAsia="黑体" w:cs="黑体"/>
          <w:color w:val="auto"/>
          <w:sz w:val="32"/>
          <w:szCs w:val="32"/>
        </w:rPr>
      </w:pPr>
      <w:r>
        <w:rPr>
          <w:rFonts w:ascii="黑体" w:hAnsi="黑体" w:eastAsia="黑体" w:cs="黑体"/>
          <w:color w:val="auto"/>
          <w:sz w:val="32"/>
          <w:szCs w:val="32"/>
        </w:rPr>
        <w:t>第三章</w:t>
      </w:r>
      <w:r>
        <w:rPr>
          <w:rFonts w:hint="eastAsia" w:ascii="黑体" w:hAnsi="黑体" w:eastAsia="黑体" w:cs="黑体"/>
          <w:color w:val="auto"/>
          <w:sz w:val="32"/>
          <w:szCs w:val="32"/>
          <w:lang w:val="en-US" w:eastAsia="zh-CN"/>
        </w:rPr>
        <w:t xml:space="preserve">  </w:t>
      </w:r>
      <w:r>
        <w:rPr>
          <w:rFonts w:ascii="黑体" w:hAnsi="黑体" w:eastAsia="黑体" w:cs="黑体"/>
          <w:color w:val="auto"/>
          <w:sz w:val="32"/>
          <w:szCs w:val="32"/>
        </w:rPr>
        <w:t>开发建设</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第十条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省人民政府在土地利用计划分配中对试验区给予支持，优先保障试验区重大基础设施以及重大产业项目用地需求。</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第十一条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省人民政府</w:t>
      </w:r>
      <w:r>
        <w:rPr>
          <w:rFonts w:hint="default" w:ascii="Times New Roman" w:hAnsi="Times New Roman" w:eastAsia="仿宋_GB2312" w:cs="Times New Roman"/>
          <w:color w:val="auto"/>
          <w:sz w:val="32"/>
          <w:szCs w:val="40"/>
          <w:shd w:val="clear" w:color="FFFFFF" w:fill="D9D9D9"/>
        </w:rPr>
        <w:t>支持试验区开展乡村振兴综合改革试点。</w:t>
      </w:r>
      <w:r>
        <w:rPr>
          <w:rFonts w:ascii="Times New Roman" w:hAnsi="Times New Roman" w:eastAsia="仿宋_GB2312" w:cs="Times New Roman"/>
          <w:color w:val="auto"/>
          <w:sz w:val="32"/>
          <w:szCs w:val="32"/>
        </w:rPr>
        <w:t>鼓励试验区在农业文化旅游融合发展、闲置宅基地盘活利用、集体经济创新发展等方面先行先试。</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支持台湾地区个人、企业或者其他组织依法参与试验区美丽宜居乡村、农村人居环境整治等项目建设。</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第十二条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试验区应当加快落实长江三角洲区域一体化发展等国家战略，加强与长江三角洲等区域在资本、技术、人才、市场等方面的合作，推动发展规划、基础设施、公共服务、创新要素等方面衔接互通，实现试验区资源要素的优化配置。</w:t>
      </w:r>
    </w:p>
    <w:p>
      <w:pPr>
        <w:keepNext w:val="0"/>
        <w:keepLines w:val="0"/>
        <w:pageBreakBefore w:val="0"/>
        <w:widowControl w:val="0"/>
        <w:kinsoku/>
        <w:wordWrap/>
        <w:overflowPunct/>
        <w:topLinePunct w:val="0"/>
        <w:bidi w:val="0"/>
        <w:snapToGrid/>
        <w:spacing w:line="600" w:lineRule="exact"/>
        <w:ind w:firstLine="64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第十三条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支持试验区开展自然资源管理综合改革试点，在资源节约利用、城市更新改造、土地二级市场监管、生态保护修复等方面先行先试。</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支持试验区推动土地复合开发利用，用途合理转换，探索增加混合产业用地供给，提升节约集约用地水平。</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试验区内的企业因产业转型和科技创新，需要建设研发设计以及生产性服务设施的，在符合国土空间规划前提下，可以调整研发设计以及生产性服务设施的用地和建筑面积的控制指标。</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bidi w:val="0"/>
        <w:snapToGrid/>
        <w:spacing w:line="600" w:lineRule="exact"/>
        <w:jc w:val="center"/>
        <w:textAlignment w:val="auto"/>
        <w:rPr>
          <w:rFonts w:ascii="黑体" w:hAnsi="黑体" w:eastAsia="黑体" w:cs="黑体"/>
          <w:color w:val="auto"/>
          <w:sz w:val="32"/>
          <w:szCs w:val="32"/>
        </w:rPr>
      </w:pPr>
      <w:r>
        <w:rPr>
          <w:rFonts w:ascii="黑体" w:hAnsi="黑体" w:eastAsia="黑体" w:cs="黑体"/>
          <w:color w:val="auto"/>
          <w:sz w:val="32"/>
          <w:szCs w:val="32"/>
        </w:rPr>
        <w:t>第四章</w:t>
      </w:r>
      <w:r>
        <w:rPr>
          <w:rFonts w:hint="eastAsia" w:ascii="黑体" w:hAnsi="黑体" w:eastAsia="黑体" w:cs="黑体"/>
          <w:color w:val="auto"/>
          <w:sz w:val="32"/>
          <w:szCs w:val="32"/>
          <w:lang w:val="en-US" w:eastAsia="zh-CN"/>
        </w:rPr>
        <w:t xml:space="preserve">  </w:t>
      </w:r>
      <w:r>
        <w:rPr>
          <w:rFonts w:ascii="黑体" w:hAnsi="黑体" w:eastAsia="黑体" w:cs="黑体"/>
          <w:color w:val="auto"/>
          <w:sz w:val="32"/>
          <w:szCs w:val="32"/>
        </w:rPr>
        <w:t>产业发展</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bidi w:val="0"/>
        <w:snapToGrid/>
        <w:spacing w:line="600" w:lineRule="exact"/>
        <w:textAlignment w:val="auto"/>
        <w:rPr>
          <w:rFonts w:hint="default" w:ascii="楷体_GB2312" w:hAnsi="楷体_GB2312" w:eastAsia="楷体_GB2312" w:cs="楷体_GB2312"/>
          <w:b/>
          <w:bCs/>
          <w:color w:val="auto"/>
          <w:kern w:val="2"/>
          <w:sz w:val="32"/>
          <w:szCs w:val="32"/>
          <w:lang w:val="en-US" w:eastAsia="zh-CN" w:bidi="ar-SA"/>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第十四条</w:t>
      </w:r>
      <w:r>
        <w:rPr>
          <w:rFonts w:hint="eastAsia" w:ascii="Times New Roman" w:hAnsi="Times New Roman" w:eastAsia="仿宋_GB2312" w:cs="Times New Roman"/>
          <w:color w:val="auto"/>
          <w:sz w:val="32"/>
          <w:szCs w:val="32"/>
          <w:lang w:val="en-US" w:eastAsia="zh-CN"/>
        </w:rPr>
        <w:t xml:space="preserve">  </w:t>
      </w:r>
      <w:r>
        <w:rPr>
          <w:rFonts w:hint="eastAsia" w:eastAsia="仿宋_GB2312"/>
          <w:color w:val="auto"/>
          <w:sz w:val="32"/>
          <w:szCs w:val="32"/>
          <w:highlight w:val="none"/>
        </w:rPr>
        <w:t>试</w:t>
      </w:r>
      <w:r>
        <w:rPr>
          <w:rFonts w:hint="eastAsia" w:eastAsia="仿宋_GB2312" w:cs="仿宋_GB2312"/>
          <w:color w:val="auto"/>
          <w:sz w:val="32"/>
          <w:szCs w:val="32"/>
          <w:highlight w:val="none"/>
        </w:rPr>
        <w:t>验区应当按照突出重点、优势互补、合作双赢、高质量发展的要求，加强与台湾地区的产业合作，引进</w:t>
      </w:r>
      <w:r>
        <w:rPr>
          <w:rFonts w:eastAsia="仿宋_GB2312" w:cs="仿宋_GB2312"/>
          <w:color w:val="auto"/>
          <w:sz w:val="32"/>
          <w:szCs w:val="32"/>
          <w:highlight w:val="none"/>
          <w:shd w:val="clear" w:color="FFFFFF" w:fill="D9D9D9"/>
        </w:rPr>
        <w:t>和发展</w:t>
      </w:r>
      <w:r>
        <w:rPr>
          <w:rFonts w:hint="eastAsia" w:ascii="黑体" w:hAnsi="黑体" w:eastAsia="黑体" w:cs="黑体"/>
          <w:color w:val="auto"/>
          <w:sz w:val="32"/>
          <w:szCs w:val="32"/>
          <w:highlight w:val="none"/>
        </w:rPr>
        <w:t>培育新一代信息技术、</w:t>
      </w:r>
      <w:r>
        <w:rPr>
          <w:rFonts w:hint="eastAsia" w:eastAsia="仿宋_GB2312" w:cs="仿宋_GB2312"/>
          <w:color w:val="auto"/>
          <w:sz w:val="32"/>
          <w:szCs w:val="32"/>
          <w:highlight w:val="none"/>
          <w:shd w:val="clear" w:color="auto" w:fill="auto"/>
        </w:rPr>
        <w:t>智能制造、生物医药</w:t>
      </w:r>
      <w:r>
        <w:rPr>
          <w:rFonts w:hint="eastAsia" w:eastAsia="仿宋_GB2312" w:cs="仿宋_GB2312"/>
          <w:color w:val="auto"/>
          <w:sz w:val="32"/>
          <w:szCs w:val="32"/>
          <w:highlight w:val="none"/>
          <w:shd w:val="clear" w:color="auto" w:fill="auto"/>
          <w:lang w:eastAsia="zh-CN"/>
        </w:rPr>
        <w:t>、</w:t>
      </w:r>
      <w:r>
        <w:rPr>
          <w:rFonts w:hint="eastAsia" w:ascii="黑体" w:hAnsi="黑体" w:eastAsia="黑体" w:cs="黑体"/>
          <w:color w:val="auto"/>
          <w:sz w:val="32"/>
          <w:szCs w:val="32"/>
          <w:highlight w:val="none"/>
        </w:rPr>
        <w:t>高端装备、低空</w:t>
      </w:r>
      <w:r>
        <w:rPr>
          <w:rFonts w:hint="eastAsia" w:ascii="黑体" w:hAnsi="黑体" w:eastAsia="黑体" w:cs="黑体"/>
          <w:color w:val="auto"/>
          <w:sz w:val="32"/>
          <w:szCs w:val="32"/>
          <w:highlight w:val="none"/>
          <w:lang w:val="en-US" w:eastAsia="zh-CN"/>
        </w:rPr>
        <w:t>经济、</w:t>
      </w:r>
      <w:r>
        <w:rPr>
          <w:rFonts w:hint="eastAsia" w:ascii="黑体" w:hAnsi="黑体" w:eastAsia="黑体" w:cs="黑体"/>
          <w:color w:val="auto"/>
          <w:sz w:val="32"/>
          <w:szCs w:val="32"/>
          <w:highlight w:val="none"/>
        </w:rPr>
        <w:t>具身智能等</w:t>
      </w:r>
      <w:r>
        <w:rPr>
          <w:rFonts w:hint="eastAsia" w:ascii="黑体" w:hAnsi="黑体" w:eastAsia="黑体" w:cs="黑体"/>
          <w:color w:val="auto"/>
          <w:sz w:val="32"/>
          <w:szCs w:val="32"/>
          <w:highlight w:val="none"/>
          <w:lang w:eastAsia="zh-CN"/>
        </w:rPr>
        <w:t>重点</w:t>
      </w:r>
      <w:r>
        <w:rPr>
          <w:rFonts w:hint="eastAsia" w:ascii="黑体" w:hAnsi="黑体" w:eastAsia="黑体" w:cs="黑体"/>
          <w:color w:val="auto"/>
          <w:sz w:val="32"/>
          <w:szCs w:val="32"/>
          <w:highlight w:val="none"/>
        </w:rPr>
        <w:t>产业，加快发展新质生产力。</w:t>
      </w:r>
    </w:p>
    <w:p>
      <w:pPr>
        <w:keepNext w:val="0"/>
        <w:keepLines w:val="0"/>
        <w:pageBreakBefore w:val="0"/>
        <w:widowControl w:val="0"/>
        <w:kinsoku/>
        <w:wordWrap/>
        <w:overflowPunct/>
        <w:topLinePunct w:val="0"/>
        <w:bidi w:val="0"/>
        <w:snapToGrid/>
        <w:spacing w:line="600" w:lineRule="exact"/>
        <w:ind w:firstLine="640"/>
        <w:textAlignment w:val="auto"/>
        <w:rPr>
          <w:rFonts w:ascii="Times New Roman" w:hAnsi="Times New Roman" w:eastAsia="仿宋_GB2312" w:cs="Times New Roman"/>
          <w:color w:val="auto"/>
          <w:sz w:val="32"/>
          <w:szCs w:val="32"/>
        </w:rPr>
      </w:pPr>
      <w:r>
        <w:rPr>
          <w:rFonts w:hint="eastAsia" w:ascii="黑体" w:hAnsi="黑体" w:eastAsia="黑体" w:cs="黑体"/>
          <w:color w:val="auto"/>
          <w:sz w:val="32"/>
          <w:szCs w:val="32"/>
        </w:rPr>
        <w:t>第十五条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试验区应当深化两岸现代服务业开放和合作。鼓励发展金融服务、科技服务、文化创意、会展经济、旅游休闲、体育健身、健康养老等现代服务业，支持发展数字经济、共享经济等新业态新模式。</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支持台资企业在试验区内设立全球总部、地区总部以及</w:t>
      </w:r>
      <w:r>
        <w:rPr>
          <w:rFonts w:hint="eastAsia" w:ascii="仿宋_GB2312" w:hAnsi="Times New Roman" w:eastAsia="仿宋_GB2312" w:cs="Times New Roman"/>
          <w:snapToGrid w:val="0"/>
          <w:color w:val="auto"/>
          <w:kern w:val="0"/>
          <w:sz w:val="32"/>
          <w:szCs w:val="32"/>
          <w:shd w:val="clear" w:color="FFFFFF" w:fill="D9D9D9"/>
          <w:lang w:eastAsia="zh-CN"/>
        </w:rPr>
        <w:t>营运</w:t>
      </w:r>
      <w:r>
        <w:rPr>
          <w:rFonts w:hint="eastAsia" w:ascii="黑体" w:hAnsi="黑体" w:eastAsia="黑体" w:cs="黑体"/>
          <w:color w:val="auto"/>
          <w:sz w:val="32"/>
          <w:szCs w:val="32"/>
        </w:rPr>
        <w:t>运营</w:t>
      </w:r>
      <w:r>
        <w:rPr>
          <w:rFonts w:ascii="Times New Roman" w:hAnsi="Times New Roman" w:eastAsia="仿宋_GB2312" w:cs="Times New Roman"/>
          <w:color w:val="auto"/>
          <w:sz w:val="32"/>
          <w:szCs w:val="32"/>
        </w:rPr>
        <w:t>、研发、结算等功能性总部。</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color w:val="auto"/>
          <w:sz w:val="32"/>
          <w:szCs w:val="32"/>
        </w:rPr>
      </w:pPr>
      <w:r>
        <w:rPr>
          <w:rFonts w:hint="eastAsia" w:ascii="黑体" w:hAnsi="黑体" w:eastAsia="黑体" w:cs="黑体"/>
          <w:color w:val="auto"/>
          <w:sz w:val="32"/>
          <w:szCs w:val="32"/>
        </w:rPr>
        <w:t>第十六条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试验区应当深化与台湾地区在医疗卫生、健康、护理、医疗保险、养老保险等领域的交流合作，完善多元化办医体制，支持台湾地区投资者在试验区内依照规定设立独资医疗机构，支持引进符合条件的台湾地区药品和医疗器械。</w:t>
      </w:r>
    </w:p>
    <w:p>
      <w:pPr>
        <w:keepNext w:val="0"/>
        <w:keepLines w:val="0"/>
        <w:pageBreakBefore w:val="0"/>
        <w:widowControl w:val="0"/>
        <w:kinsoku/>
        <w:wordWrap/>
        <w:overflowPunct/>
        <w:topLinePunct w:val="0"/>
        <w:bidi w:val="0"/>
        <w:snapToGrid/>
        <w:spacing w:line="600" w:lineRule="exact"/>
        <w:ind w:firstLine="647"/>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第十七条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支持台湾地区投资者参与试验区旅游发展。鼓励台湾地区投资者在试验区内设立旅行社，依照规定开展旅游业务。</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第十</w:t>
      </w:r>
      <w:r>
        <w:rPr>
          <w:rFonts w:hint="eastAsia" w:ascii="黑体" w:hAnsi="黑体" w:eastAsia="黑体" w:cs="黑体"/>
          <w:color w:val="auto"/>
          <w:sz w:val="32"/>
          <w:szCs w:val="32"/>
        </w:rPr>
        <w:t>八</w:t>
      </w:r>
      <w:r>
        <w:rPr>
          <w:rFonts w:ascii="黑体" w:hAnsi="黑体" w:eastAsia="黑体" w:cs="黑体"/>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试验区鼓励发展现代都市农业。支持台湾地区个人、企业或者其他组织依法参与海峡两岸（昆山）农业合作试验区、国家</w:t>
      </w:r>
      <w:r>
        <w:rPr>
          <w:rFonts w:hint="eastAsia" w:ascii="黑体" w:hAnsi="黑体" w:eastAsia="黑体" w:cs="黑体"/>
          <w:color w:val="auto"/>
          <w:sz w:val="32"/>
          <w:szCs w:val="32"/>
        </w:rPr>
        <w:t>现代</w:t>
      </w:r>
      <w:r>
        <w:rPr>
          <w:rFonts w:ascii="Times New Roman" w:hAnsi="Times New Roman" w:eastAsia="仿宋_GB2312" w:cs="Times New Roman"/>
          <w:color w:val="auto"/>
          <w:sz w:val="32"/>
          <w:szCs w:val="32"/>
        </w:rPr>
        <w:t>农业</w:t>
      </w:r>
      <w:r>
        <w:rPr>
          <w:rFonts w:hint="eastAsia" w:ascii="仿宋_GB2312" w:hAnsi="Times New Roman" w:eastAsia="仿宋_GB2312" w:cs="Times New Roman"/>
          <w:snapToGrid w:val="0"/>
          <w:color w:val="auto"/>
          <w:kern w:val="0"/>
          <w:sz w:val="32"/>
          <w:szCs w:val="32"/>
          <w:shd w:val="clear" w:color="FFFFFF" w:fill="D9D9D9"/>
          <w:lang w:eastAsia="zh-CN"/>
        </w:rPr>
        <w:t>综合开发现代化</w:t>
      </w:r>
      <w:r>
        <w:rPr>
          <w:rFonts w:ascii="Times New Roman" w:hAnsi="Times New Roman" w:eastAsia="仿宋_GB2312" w:cs="Times New Roman"/>
          <w:color w:val="auto"/>
          <w:sz w:val="32"/>
          <w:szCs w:val="32"/>
        </w:rPr>
        <w:t>示范区建设</w:t>
      </w:r>
      <w:r>
        <w:rPr>
          <w:rFonts w:hint="eastAsia" w:ascii="黑体" w:hAnsi="黑体" w:eastAsia="黑体" w:cs="黑体"/>
          <w:color w:val="auto"/>
          <w:sz w:val="32"/>
          <w:szCs w:val="32"/>
        </w:rPr>
        <w:t>。</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试验区应当加强两岸农业科技交流与合作，引进和推广台湾地区的农业新品种、新技术、新肥料、新农药和新机具。</w:t>
      </w:r>
    </w:p>
    <w:p>
      <w:pPr>
        <w:keepNext w:val="0"/>
        <w:keepLines w:val="0"/>
        <w:pageBreakBefore w:val="0"/>
        <w:widowControl w:val="0"/>
        <w:kinsoku/>
        <w:wordWrap/>
        <w:overflowPunct/>
        <w:topLinePunct w:val="0"/>
        <w:bidi w:val="0"/>
        <w:snapToGrid/>
        <w:spacing w:line="600" w:lineRule="exact"/>
        <w:ind w:firstLine="653"/>
        <w:textAlignment w:val="auto"/>
        <w:rPr>
          <w:rFonts w:hint="eastAsia" w:ascii="黑体" w:hAnsi="黑体" w:eastAsia="黑体" w:cs="黑体"/>
          <w:color w:val="auto"/>
          <w:sz w:val="32"/>
          <w:szCs w:val="32"/>
        </w:rPr>
      </w:pPr>
      <w:r>
        <w:rPr>
          <w:rFonts w:ascii="黑体" w:hAnsi="黑体" w:eastAsia="黑体" w:cs="黑体"/>
          <w:color w:val="auto"/>
          <w:sz w:val="32"/>
          <w:szCs w:val="32"/>
        </w:rPr>
        <w:t>第十</w:t>
      </w:r>
      <w:r>
        <w:rPr>
          <w:rFonts w:hint="eastAsia" w:ascii="黑体" w:hAnsi="黑体" w:eastAsia="黑体" w:cs="黑体"/>
          <w:color w:val="auto"/>
          <w:sz w:val="32"/>
          <w:szCs w:val="32"/>
        </w:rPr>
        <w:t>九</w:t>
      </w:r>
      <w:r>
        <w:rPr>
          <w:rFonts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推动</w:t>
      </w:r>
      <w:r>
        <w:rPr>
          <w:rFonts w:hint="eastAsia" w:ascii="Times New Roman" w:hAnsi="Times New Roman" w:eastAsia="黑体" w:cs="Times New Roman"/>
          <w:color w:val="auto"/>
          <w:sz w:val="32"/>
          <w:szCs w:val="32"/>
        </w:rPr>
        <w:t>试验区</w:t>
      </w:r>
      <w:r>
        <w:rPr>
          <w:rFonts w:hint="eastAsia" w:ascii="Times New Roman" w:hAnsi="Times New Roman" w:eastAsia="黑体" w:cs="Times New Roman"/>
          <w:color w:val="auto"/>
          <w:sz w:val="32"/>
          <w:szCs w:val="32"/>
          <w:lang w:val="en-US" w:eastAsia="zh-CN"/>
        </w:rPr>
        <w:t>与台湾地区</w:t>
      </w:r>
      <w:r>
        <w:rPr>
          <w:rFonts w:hint="eastAsia" w:ascii="黑体" w:hAnsi="黑体" w:eastAsia="黑体" w:cs="黑体"/>
          <w:color w:val="auto"/>
          <w:sz w:val="32"/>
          <w:szCs w:val="32"/>
        </w:rPr>
        <w:t>在大数据、云计算、物联网、跨境数据流动等领域的深度合作；支持</w:t>
      </w:r>
      <w:r>
        <w:rPr>
          <w:rFonts w:hint="eastAsia" w:ascii="黑体" w:hAnsi="黑体" w:eastAsia="黑体" w:cs="黑体"/>
          <w:color w:val="auto"/>
          <w:sz w:val="32"/>
          <w:szCs w:val="32"/>
          <w:lang w:eastAsia="zh-CN"/>
        </w:rPr>
        <w:t>试验区</w:t>
      </w:r>
      <w:r>
        <w:rPr>
          <w:rFonts w:hint="eastAsia" w:ascii="黑体" w:hAnsi="黑体" w:eastAsia="黑体" w:cs="黑体"/>
          <w:color w:val="auto"/>
          <w:sz w:val="32"/>
          <w:szCs w:val="32"/>
          <w:lang w:val="en-US" w:eastAsia="zh-CN"/>
        </w:rPr>
        <w:t>创新发展数字贸易</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有序扩大数字领域开放，</w:t>
      </w:r>
      <w:r>
        <w:rPr>
          <w:rFonts w:hint="eastAsia" w:ascii="黑体" w:hAnsi="黑体" w:eastAsia="黑体" w:cs="黑体"/>
          <w:color w:val="auto"/>
          <w:sz w:val="32"/>
          <w:szCs w:val="32"/>
        </w:rPr>
        <w:t>加强数字安全监管和数字版权保护。</w:t>
      </w:r>
    </w:p>
    <w:p>
      <w:pPr>
        <w:pStyle w:val="6"/>
        <w:keepNext w:val="0"/>
        <w:keepLines w:val="0"/>
        <w:pageBreakBefore w:val="0"/>
        <w:widowControl w:val="0"/>
        <w:kinsoku/>
        <w:wordWrap/>
        <w:overflowPunct/>
        <w:topLinePunct w:val="0"/>
        <w:bidi w:val="0"/>
        <w:snapToGrid/>
        <w:spacing w:line="600" w:lineRule="exact"/>
        <w:ind w:firstLine="640" w:firstLineChars="200"/>
        <w:textAlignment w:val="auto"/>
        <w:rPr>
          <w:color w:val="auto"/>
        </w:rPr>
      </w:pPr>
      <w:r>
        <w:rPr>
          <w:rFonts w:hint="eastAsia" w:ascii="Times New Roman" w:hAnsi="Times New Roman" w:eastAsia="黑体" w:cs="Times New Roman"/>
          <w:color w:val="auto"/>
          <w:sz w:val="32"/>
          <w:szCs w:val="32"/>
        </w:rPr>
        <w:t>支持试验区</w:t>
      </w:r>
      <w:r>
        <w:rPr>
          <w:rFonts w:hint="eastAsia" w:ascii="Times New Roman" w:hAnsi="Times New Roman" w:eastAsia="黑体" w:cs="Times New Roman"/>
          <w:color w:val="auto"/>
          <w:sz w:val="32"/>
          <w:szCs w:val="32"/>
          <w:lang w:val="en-US" w:eastAsia="zh-CN"/>
        </w:rPr>
        <w:t>绿色低碳发展，</w:t>
      </w:r>
      <w:r>
        <w:rPr>
          <w:rFonts w:hint="eastAsia" w:ascii="Times New Roman" w:hAnsi="Times New Roman" w:eastAsia="黑体" w:cs="Times New Roman"/>
          <w:color w:val="auto"/>
          <w:sz w:val="32"/>
          <w:szCs w:val="32"/>
        </w:rPr>
        <w:t>推进绿电进园区、进企业，</w:t>
      </w:r>
      <w:r>
        <w:rPr>
          <w:rFonts w:hint="eastAsia" w:ascii="Times New Roman" w:hAnsi="Times New Roman" w:eastAsia="黑体" w:cs="Times New Roman"/>
          <w:color w:val="auto"/>
          <w:sz w:val="32"/>
          <w:szCs w:val="32"/>
          <w:lang w:val="en-US" w:eastAsia="zh-CN"/>
        </w:rPr>
        <w:t>开展</w:t>
      </w:r>
      <w:r>
        <w:rPr>
          <w:rFonts w:hint="eastAsia" w:ascii="Times New Roman" w:hAnsi="Times New Roman" w:eastAsia="黑体" w:cs="Times New Roman"/>
          <w:color w:val="auto"/>
          <w:sz w:val="32"/>
          <w:szCs w:val="32"/>
        </w:rPr>
        <w:t>绿电直连试点，推动零碳园区、零碳工厂建设。</w:t>
      </w:r>
    </w:p>
    <w:p>
      <w:pPr>
        <w:keepNext w:val="0"/>
        <w:keepLines w:val="0"/>
        <w:pageBreakBefore w:val="0"/>
        <w:widowControl w:val="0"/>
        <w:kinsoku/>
        <w:wordWrap/>
        <w:overflowPunct/>
        <w:topLinePunct w:val="0"/>
        <w:bidi w:val="0"/>
        <w:snapToGrid/>
        <w:spacing w:line="600" w:lineRule="exact"/>
        <w:ind w:firstLine="653"/>
        <w:textAlignment w:val="auto"/>
        <w:rPr>
          <w:rFonts w:ascii="Times New Roman" w:hAnsi="Times New Roman" w:eastAsia="仿宋_GB2312" w:cs="仿宋_GB2312"/>
          <w:color w:val="auto"/>
          <w:sz w:val="32"/>
          <w:szCs w:val="32"/>
        </w:rPr>
      </w:pPr>
      <w:r>
        <w:rPr>
          <w:rFonts w:ascii="黑体" w:hAnsi="黑体" w:eastAsia="黑体" w:cs="黑体"/>
          <w:color w:val="auto"/>
          <w:sz w:val="32"/>
          <w:szCs w:val="32"/>
        </w:rPr>
        <w:t>第</w:t>
      </w:r>
      <w:r>
        <w:rPr>
          <w:rFonts w:hint="eastAsia" w:ascii="黑体" w:hAnsi="黑体" w:eastAsia="黑体" w:cs="黑体"/>
          <w:color w:val="auto"/>
          <w:sz w:val="32"/>
          <w:szCs w:val="32"/>
          <w:lang w:val="en-US" w:eastAsia="zh-CN"/>
        </w:rPr>
        <w:t>二十</w:t>
      </w:r>
      <w:r>
        <w:rPr>
          <w:rFonts w:hint="eastAsia" w:ascii="黑体" w:hAnsi="黑体" w:eastAsia="黑体" w:cs="黑体"/>
          <w:snapToGrid w:val="0"/>
          <w:color w:val="auto"/>
          <w:kern w:val="0"/>
          <w:sz w:val="32"/>
          <w:szCs w:val="32"/>
          <w:shd w:val="clear" w:color="FFFFFF" w:fill="D9D9D9"/>
          <w:lang w:eastAsia="zh-CN"/>
        </w:rPr>
        <w:t>第十</w:t>
      </w:r>
      <w:r>
        <w:rPr>
          <w:rFonts w:hint="eastAsia" w:ascii="黑体" w:hAnsi="黑体" w:eastAsia="黑体" w:cs="黑体"/>
          <w:snapToGrid w:val="0"/>
          <w:color w:val="auto"/>
          <w:kern w:val="0"/>
          <w:sz w:val="32"/>
          <w:szCs w:val="32"/>
          <w:shd w:val="clear" w:color="FFFFFF" w:fill="D9D9D9"/>
          <w:lang w:val="en-US" w:eastAsia="zh-CN"/>
        </w:rPr>
        <w:t>九</w:t>
      </w:r>
      <w:r>
        <w:rPr>
          <w:rFonts w:ascii="黑体" w:hAnsi="黑体" w:eastAsia="黑体" w:cs="黑体"/>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仿宋_GB2312"/>
          <w:color w:val="auto"/>
          <w:sz w:val="32"/>
          <w:szCs w:val="32"/>
        </w:rPr>
        <w:t>试验区应当推动区内传统工业区向科创产业园转型。</w:t>
      </w:r>
      <w:r>
        <w:rPr>
          <w:rFonts w:hint="eastAsia" w:ascii="Times New Roman" w:hAnsi="Times New Roman" w:eastAsia="仿宋_GB2312" w:cs="仿宋_GB2312"/>
          <w:color w:val="auto"/>
          <w:sz w:val="32"/>
          <w:szCs w:val="32"/>
        </w:rPr>
        <w:t>支持</w:t>
      </w:r>
      <w:r>
        <w:rPr>
          <w:rFonts w:hint="eastAsia" w:ascii="仿宋_GB2312" w:hAnsi="Times New Roman" w:eastAsia="仿宋_GB2312" w:cs="Times New Roman"/>
          <w:snapToGrid w:val="0"/>
          <w:color w:val="auto"/>
          <w:kern w:val="0"/>
          <w:sz w:val="32"/>
          <w:szCs w:val="32"/>
          <w:shd w:val="clear" w:color="FFFFFF" w:fill="D9D9D9"/>
          <w:lang w:eastAsia="zh-CN"/>
        </w:rPr>
        <w:t>光电产业园、生物医药产业园、机器人及智能制造产业园</w:t>
      </w:r>
      <w:r>
        <w:rPr>
          <w:rFonts w:hint="eastAsia" w:ascii="黑体" w:hAnsi="黑体" w:eastAsia="黑体" w:cs="黑体"/>
          <w:color w:val="auto"/>
          <w:sz w:val="32"/>
          <w:szCs w:val="32"/>
        </w:rPr>
        <w:t>光电、机器人、人工智能、先进计算</w:t>
      </w:r>
      <w:r>
        <w:rPr>
          <w:rFonts w:hint="eastAsia" w:ascii="Times New Roman" w:hAnsi="Times New Roman" w:eastAsia="仿宋_GB2312" w:cs="仿宋_GB2312"/>
          <w:color w:val="auto"/>
          <w:sz w:val="32"/>
          <w:szCs w:val="32"/>
        </w:rPr>
        <w:t>等</w:t>
      </w:r>
      <w:r>
        <w:rPr>
          <w:rFonts w:hint="eastAsia" w:ascii="黑体" w:hAnsi="黑体" w:eastAsia="黑体" w:cs="黑体"/>
          <w:color w:val="auto"/>
          <w:sz w:val="32"/>
          <w:szCs w:val="32"/>
        </w:rPr>
        <w:t>产业</w:t>
      </w:r>
      <w:r>
        <w:rPr>
          <w:rFonts w:hint="eastAsia" w:ascii="Times New Roman" w:hAnsi="Times New Roman" w:eastAsia="仿宋_GB2312" w:cs="仿宋_GB2312"/>
          <w:color w:val="auto"/>
          <w:sz w:val="32"/>
          <w:szCs w:val="32"/>
          <w:shd w:val="clear" w:color="FFFFFF" w:fill="D9D9D9"/>
          <w:lang w:eastAsia="zh-CN"/>
        </w:rPr>
        <w:t>园区</w:t>
      </w:r>
      <w:r>
        <w:rPr>
          <w:rFonts w:hint="eastAsia" w:ascii="Times New Roman" w:hAnsi="Times New Roman" w:eastAsia="仿宋_GB2312" w:cs="仿宋_GB2312"/>
          <w:color w:val="auto"/>
          <w:sz w:val="32"/>
          <w:szCs w:val="32"/>
          <w:shd w:val="clear" w:color="FFFFFF" w:fill="D9D9D9"/>
          <w:lang w:val="en-US" w:eastAsia="zh-CN"/>
        </w:rPr>
        <w:t>建设</w:t>
      </w:r>
      <w:r>
        <w:rPr>
          <w:rFonts w:hint="eastAsia" w:ascii="方正黑体_GBK" w:hAnsi="方正黑体_GBK" w:eastAsia="方正黑体_GBK" w:cs="方正黑体_GBK"/>
          <w:snapToGrid w:val="0"/>
          <w:color w:val="auto"/>
          <w:kern w:val="0"/>
          <w:sz w:val="32"/>
          <w:szCs w:val="32"/>
          <w:shd w:val="clear" w:color="auto" w:fill="auto"/>
          <w:lang w:eastAsia="zh-CN"/>
        </w:rPr>
        <w:t>载体</w:t>
      </w:r>
      <w:r>
        <w:rPr>
          <w:rFonts w:hint="eastAsia" w:ascii="黑体" w:hAnsi="黑体" w:eastAsia="黑体" w:cs="黑体"/>
          <w:color w:val="auto"/>
          <w:sz w:val="32"/>
          <w:szCs w:val="32"/>
          <w:lang w:val="en-US" w:eastAsia="zh-CN"/>
        </w:rPr>
        <w:t>发展</w:t>
      </w:r>
      <w:r>
        <w:rPr>
          <w:rFonts w:hint="eastAsia" w:ascii="Times New Roman" w:hAnsi="Times New Roman" w:eastAsia="仿宋_GB2312" w:cs="仿宋_GB2312"/>
          <w:color w:val="auto"/>
          <w:sz w:val="32"/>
          <w:szCs w:val="32"/>
        </w:rPr>
        <w:t>，</w:t>
      </w:r>
      <w:r>
        <w:rPr>
          <w:rFonts w:hint="eastAsia" w:ascii="仿宋_GB2312" w:hAnsi="Times New Roman" w:eastAsia="仿宋_GB2312" w:cs="Times New Roman"/>
          <w:snapToGrid w:val="0"/>
          <w:color w:val="auto"/>
          <w:kern w:val="0"/>
          <w:sz w:val="32"/>
          <w:szCs w:val="32"/>
          <w:shd w:val="clear" w:color="FFFFFF" w:fill="D9D9D9"/>
          <w:lang w:eastAsia="zh-CN"/>
        </w:rPr>
        <w:t>支持培育进口贸易促进创新示范区，</w:t>
      </w:r>
      <w:r>
        <w:rPr>
          <w:rFonts w:hint="eastAsia" w:ascii="黑体" w:hAnsi="黑体" w:eastAsia="黑体" w:cs="黑体"/>
          <w:color w:val="auto"/>
          <w:sz w:val="32"/>
          <w:szCs w:val="32"/>
        </w:rPr>
        <w:t>深化进口贸易</w:t>
      </w:r>
      <w:r>
        <w:rPr>
          <w:rFonts w:hint="eastAsia" w:ascii="黑体" w:hAnsi="黑体" w:eastAsia="黑体" w:cs="黑体"/>
          <w:color w:val="auto"/>
          <w:sz w:val="32"/>
          <w:szCs w:val="32"/>
          <w:lang w:val="en-US" w:eastAsia="zh-CN"/>
        </w:rPr>
        <w:t>促进</w:t>
      </w:r>
      <w:r>
        <w:rPr>
          <w:rFonts w:hint="eastAsia" w:ascii="黑体" w:hAnsi="黑体" w:eastAsia="黑体" w:cs="黑体"/>
          <w:color w:val="auto"/>
          <w:sz w:val="32"/>
          <w:szCs w:val="32"/>
        </w:rPr>
        <w:t>创新</w:t>
      </w:r>
      <w:r>
        <w:rPr>
          <w:rFonts w:hint="eastAsia" w:ascii="黑体" w:hAnsi="黑体" w:eastAsia="黑体" w:cs="黑体"/>
          <w:color w:val="auto"/>
          <w:sz w:val="32"/>
          <w:szCs w:val="32"/>
          <w:lang w:val="en-US" w:eastAsia="zh-CN"/>
        </w:rPr>
        <w:t>示范区</w:t>
      </w:r>
      <w:r>
        <w:rPr>
          <w:rFonts w:hint="eastAsia" w:ascii="黑体" w:hAnsi="黑体" w:eastAsia="黑体" w:cs="黑体"/>
          <w:color w:val="auto"/>
          <w:sz w:val="32"/>
          <w:szCs w:val="32"/>
        </w:rPr>
        <w:t>发展，</w:t>
      </w:r>
      <w:r>
        <w:rPr>
          <w:rFonts w:ascii="Times New Roman" w:hAnsi="Times New Roman" w:eastAsia="仿宋_GB2312" w:cs="仿宋_GB2312"/>
          <w:color w:val="auto"/>
          <w:sz w:val="32"/>
          <w:szCs w:val="32"/>
        </w:rPr>
        <w:t>鼓励昆山综合保税区功能延伸和转型升级</w:t>
      </w:r>
      <w:r>
        <w:rPr>
          <w:rFonts w:hint="eastAsia" w:ascii="Times New Roman" w:hAnsi="Times New Roman" w:eastAsia="仿宋_GB2312" w:cs="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试验区应当支持台企转型升级，鼓励台资企业加大技术、装备、人才等关键要素投入，联合产业链关联企业，参与组建创新联合体，加快技术迭代和产品升级，实现台资规模以上工业企业研发机构动态全覆盖。</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bidi w:val="0"/>
        <w:snapToGrid/>
        <w:spacing w:line="600" w:lineRule="exact"/>
        <w:jc w:val="center"/>
        <w:textAlignment w:val="auto"/>
        <w:rPr>
          <w:rFonts w:ascii="黑体" w:hAnsi="黑体" w:eastAsia="黑体" w:cs="黑体"/>
          <w:color w:val="auto"/>
          <w:sz w:val="32"/>
          <w:szCs w:val="32"/>
        </w:rPr>
      </w:pPr>
      <w:r>
        <w:rPr>
          <w:rFonts w:ascii="黑体" w:hAnsi="黑体" w:eastAsia="黑体" w:cs="黑体"/>
          <w:color w:val="auto"/>
          <w:sz w:val="32"/>
          <w:szCs w:val="32"/>
        </w:rPr>
        <w:t>第五章</w:t>
      </w:r>
      <w:r>
        <w:rPr>
          <w:rFonts w:hint="eastAsia" w:ascii="黑体" w:hAnsi="黑体" w:eastAsia="黑体" w:cs="黑体"/>
          <w:color w:val="auto"/>
          <w:sz w:val="32"/>
          <w:szCs w:val="32"/>
          <w:lang w:val="en-US" w:eastAsia="zh-CN"/>
        </w:rPr>
        <w:t xml:space="preserve">  </w:t>
      </w:r>
      <w:r>
        <w:rPr>
          <w:rFonts w:ascii="黑体" w:hAnsi="黑体" w:eastAsia="黑体" w:cs="黑体"/>
          <w:color w:val="auto"/>
          <w:sz w:val="32"/>
          <w:szCs w:val="32"/>
        </w:rPr>
        <w:t>投资贸易</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bidi w:val="0"/>
        <w:snapToGrid/>
        <w:spacing w:line="600" w:lineRule="exact"/>
        <w:ind w:firstLine="650"/>
        <w:textAlignment w:val="auto"/>
        <w:rPr>
          <w:rFonts w:ascii="Times New Roman" w:hAnsi="Times New Roman" w:eastAsia="仿宋_GB2312" w:cs="仿宋_GB2312"/>
          <w:color w:val="auto"/>
          <w:sz w:val="32"/>
          <w:szCs w:val="32"/>
        </w:rPr>
      </w:pPr>
      <w:r>
        <w:rPr>
          <w:rFonts w:ascii="黑体" w:hAnsi="黑体" w:eastAsia="黑体" w:cs="黑体"/>
          <w:color w:val="auto"/>
          <w:sz w:val="32"/>
          <w:szCs w:val="32"/>
        </w:rPr>
        <w:t>第</w:t>
      </w:r>
      <w:r>
        <w:rPr>
          <w:rFonts w:hint="eastAsia" w:ascii="黑体" w:hAnsi="黑体" w:eastAsia="黑体" w:cs="黑体"/>
          <w:color w:val="auto"/>
          <w:sz w:val="32"/>
          <w:szCs w:val="32"/>
        </w:rPr>
        <w:t>二十一</w:t>
      </w:r>
      <w:r>
        <w:rPr>
          <w:rFonts w:hint="eastAsia" w:ascii="黑体" w:hAnsi="黑体" w:eastAsia="黑体" w:cs="黑体"/>
          <w:snapToGrid w:val="0"/>
          <w:color w:val="auto"/>
          <w:kern w:val="0"/>
          <w:sz w:val="32"/>
          <w:szCs w:val="32"/>
          <w:shd w:val="clear" w:color="FFFFFF" w:fill="D9D9D9"/>
          <w:lang w:eastAsia="zh-CN"/>
        </w:rPr>
        <w:t>二十</w:t>
      </w:r>
      <w:r>
        <w:rPr>
          <w:rFonts w:ascii="黑体" w:hAnsi="黑体" w:eastAsia="黑体" w:cs="黑体"/>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hint="eastAsia" w:ascii="仿宋_GB2312" w:hAnsi="Times New Roman" w:eastAsia="仿宋_GB2312" w:cs="Times New Roman"/>
          <w:snapToGrid w:val="0"/>
          <w:color w:val="auto"/>
          <w:kern w:val="0"/>
          <w:sz w:val="32"/>
          <w:szCs w:val="32"/>
          <w:shd w:val="clear" w:color="FFFFFF" w:fill="D9D9D9"/>
          <w:lang w:eastAsia="zh-CN"/>
        </w:rPr>
        <w:t>昆山市人民政府</w:t>
      </w:r>
      <w:r>
        <w:rPr>
          <w:rFonts w:hint="eastAsia" w:ascii="黑体" w:hAnsi="黑体" w:eastAsia="黑体" w:cs="黑体"/>
          <w:color w:val="auto"/>
          <w:sz w:val="32"/>
          <w:szCs w:val="32"/>
          <w:lang w:val="en-US" w:eastAsia="zh-CN"/>
        </w:rPr>
        <w:t>试验区</w:t>
      </w:r>
      <w:r>
        <w:rPr>
          <w:rFonts w:ascii="Times New Roman" w:hAnsi="Times New Roman" w:eastAsia="仿宋_GB2312" w:cs="仿宋_GB2312"/>
          <w:color w:val="auto"/>
          <w:sz w:val="32"/>
          <w:szCs w:val="32"/>
        </w:rPr>
        <w:t>应当</w:t>
      </w:r>
      <w:r>
        <w:rPr>
          <w:rFonts w:hint="eastAsia" w:ascii="黑体" w:hAnsi="黑体" w:eastAsia="黑体" w:cs="黑体"/>
          <w:color w:val="auto"/>
          <w:sz w:val="32"/>
          <w:szCs w:val="32"/>
          <w:lang w:val="en-US" w:eastAsia="zh-CN"/>
        </w:rPr>
        <w:t>持续</w:t>
      </w:r>
      <w:r>
        <w:rPr>
          <w:rFonts w:ascii="Times New Roman" w:hAnsi="Times New Roman" w:eastAsia="仿宋_GB2312" w:cs="仿宋_GB2312"/>
          <w:color w:val="auto"/>
          <w:sz w:val="32"/>
          <w:szCs w:val="32"/>
        </w:rPr>
        <w:t>优化</w:t>
      </w:r>
      <w:r>
        <w:rPr>
          <w:rFonts w:hint="eastAsia" w:ascii="仿宋_GB2312" w:hAnsi="Times New Roman" w:eastAsia="仿宋_GB2312" w:cs="Times New Roman"/>
          <w:snapToGrid w:val="0"/>
          <w:color w:val="auto"/>
          <w:kern w:val="0"/>
          <w:sz w:val="32"/>
          <w:szCs w:val="32"/>
          <w:shd w:val="clear" w:color="FFFFFF" w:fill="D9D9D9"/>
          <w:lang w:eastAsia="zh-CN"/>
        </w:rPr>
        <w:t>试验区</w:t>
      </w:r>
      <w:r>
        <w:rPr>
          <w:rFonts w:hint="eastAsia" w:ascii="黑体" w:hAnsi="黑体" w:eastAsia="黑体" w:cs="黑体"/>
          <w:color w:val="auto"/>
          <w:sz w:val="32"/>
          <w:szCs w:val="32"/>
          <w:lang w:val="en-US" w:eastAsia="zh-CN"/>
        </w:rPr>
        <w:t>市场化法治化国际化一流</w:t>
      </w:r>
      <w:r>
        <w:rPr>
          <w:rFonts w:ascii="Times New Roman" w:hAnsi="Times New Roman" w:eastAsia="仿宋_GB2312" w:cs="仿宋_GB2312"/>
          <w:color w:val="auto"/>
          <w:sz w:val="32"/>
          <w:szCs w:val="32"/>
        </w:rPr>
        <w:t>营商环境，完善投资促进、项目跟踪服务等工作机制，在法定权限内制定台湾地区投资者投资促进政策，推广市场化招商模式，培育投资促进和企业服务队伍。</w:t>
      </w:r>
    </w:p>
    <w:p>
      <w:pPr>
        <w:keepNext w:val="0"/>
        <w:keepLines w:val="0"/>
        <w:pageBreakBefore w:val="0"/>
        <w:widowControl w:val="0"/>
        <w:kinsoku/>
        <w:wordWrap/>
        <w:overflowPunct/>
        <w:topLinePunct w:val="0"/>
        <w:bidi w:val="0"/>
        <w:snapToGrid/>
        <w:spacing w:line="600" w:lineRule="exact"/>
        <w:ind w:firstLine="64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第二十二</w:t>
      </w:r>
      <w:r>
        <w:rPr>
          <w:rFonts w:hint="eastAsia" w:ascii="黑体" w:hAnsi="黑体" w:eastAsia="黑体" w:cs="黑体"/>
          <w:snapToGrid w:val="0"/>
          <w:color w:val="auto"/>
          <w:kern w:val="0"/>
          <w:sz w:val="32"/>
          <w:szCs w:val="32"/>
          <w:shd w:val="clear" w:color="FFFFFF" w:fill="D9D9D9"/>
          <w:lang w:eastAsia="zh-CN"/>
        </w:rPr>
        <w:t>二十一</w:t>
      </w:r>
      <w:r>
        <w:rPr>
          <w:rFonts w:ascii="黑体" w:hAnsi="黑体" w:eastAsia="黑体" w:cs="黑体"/>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支持试验区参与“一带一路”建设。</w:t>
      </w:r>
      <w:r>
        <w:rPr>
          <w:rFonts w:eastAsia="黑体" w:cs="黑体"/>
          <w:color w:val="auto"/>
          <w:sz w:val="32"/>
          <w:szCs w:val="32"/>
        </w:rPr>
        <w:t>试验区应当</w:t>
      </w:r>
      <w:r>
        <w:rPr>
          <w:rFonts w:hint="eastAsia" w:eastAsia="黑体" w:cs="黑体"/>
          <w:color w:val="auto"/>
          <w:sz w:val="32"/>
          <w:szCs w:val="32"/>
        </w:rPr>
        <w:t>支持企业拓展“一带一路”市场，</w:t>
      </w:r>
      <w:r>
        <w:rPr>
          <w:rFonts w:eastAsia="黑体" w:cs="黑体"/>
          <w:color w:val="auto"/>
          <w:sz w:val="32"/>
          <w:szCs w:val="32"/>
        </w:rPr>
        <w:t>完善涉外法律综合服务、跨境税收、碳足迹核算服务，发布重点行业海外投资指引，加</w:t>
      </w:r>
      <w:r>
        <w:rPr>
          <w:rFonts w:hint="eastAsia" w:eastAsia="黑体" w:cs="黑体"/>
          <w:color w:val="auto"/>
          <w:sz w:val="32"/>
          <w:szCs w:val="32"/>
        </w:rPr>
        <w:t>强</w:t>
      </w:r>
      <w:r>
        <w:rPr>
          <w:rFonts w:hint="eastAsia" w:eastAsia="黑体" w:cs="黑体"/>
          <w:color w:val="auto"/>
          <w:sz w:val="32"/>
          <w:szCs w:val="32"/>
          <w:lang w:val="en-US" w:eastAsia="zh-CN"/>
        </w:rPr>
        <w:t>海外投资</w:t>
      </w:r>
      <w:r>
        <w:rPr>
          <w:rFonts w:hint="eastAsia" w:eastAsia="黑体" w:cs="黑体"/>
          <w:color w:val="auto"/>
          <w:sz w:val="32"/>
          <w:szCs w:val="32"/>
        </w:rPr>
        <w:t>风险</w:t>
      </w:r>
      <w:r>
        <w:rPr>
          <w:rFonts w:eastAsia="黑体" w:cs="黑体"/>
          <w:color w:val="auto"/>
          <w:sz w:val="32"/>
          <w:szCs w:val="32"/>
        </w:rPr>
        <w:t>提示</w:t>
      </w:r>
      <w:r>
        <w:rPr>
          <w:rFonts w:hint="eastAsia" w:eastAsia="黑体" w:cs="黑体"/>
          <w:color w:val="auto"/>
          <w:sz w:val="32"/>
          <w:szCs w:val="32"/>
        </w:rPr>
        <w:t>。</w:t>
      </w:r>
    </w:p>
    <w:p>
      <w:pPr>
        <w:keepNext w:val="0"/>
        <w:keepLines w:val="0"/>
        <w:pageBreakBefore w:val="0"/>
        <w:widowControl w:val="0"/>
        <w:kinsoku/>
        <w:wordWrap/>
        <w:overflowPunct/>
        <w:topLinePunct w:val="0"/>
        <w:bidi w:val="0"/>
        <w:snapToGrid/>
        <w:spacing w:line="600" w:lineRule="exact"/>
        <w:ind w:firstLine="641"/>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试</w:t>
      </w:r>
      <w:r>
        <w:rPr>
          <w:rFonts w:hint="eastAsia" w:ascii="Times New Roman" w:hAnsi="Times New Roman" w:eastAsia="仿宋_GB2312" w:cs="仿宋_GB2312"/>
          <w:color w:val="auto"/>
          <w:sz w:val="32"/>
          <w:szCs w:val="32"/>
        </w:rPr>
        <w:t>验区应当加强与境外经贸合作区在招商引资、科技创新等领域的合作，探索境外园区合作模式</w:t>
      </w:r>
      <w:r>
        <w:rPr>
          <w:rFonts w:ascii="Times New Roman" w:hAnsi="Times New Roman" w:eastAsia="仿宋_GB2312" w:cs="仿宋_GB2312"/>
          <w:color w:val="auto"/>
          <w:sz w:val="32"/>
          <w:szCs w:val="32"/>
          <w:shd w:val="clear" w:color="auto" w:fill="auto"/>
        </w:rPr>
        <w:t>，为台资企业参与“一带一路”建设创造条件、提供便利。</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第二十三</w:t>
      </w:r>
      <w:r>
        <w:rPr>
          <w:rFonts w:hint="eastAsia" w:ascii="黑体" w:hAnsi="黑体" w:eastAsia="黑体" w:cs="黑体"/>
          <w:snapToGrid w:val="0"/>
          <w:color w:val="auto"/>
          <w:kern w:val="0"/>
          <w:sz w:val="32"/>
          <w:szCs w:val="32"/>
          <w:shd w:val="clear" w:color="FFFFFF" w:fill="D9D9D9"/>
          <w:lang w:eastAsia="zh-CN"/>
        </w:rPr>
        <w:t>二十二</w:t>
      </w:r>
      <w:r>
        <w:rPr>
          <w:rFonts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ascii="Times New Roman" w:hAnsi="Times New Roman" w:eastAsia="仿宋_GB2312" w:cs="Times New Roman"/>
          <w:color w:val="auto"/>
          <w:sz w:val="32"/>
          <w:szCs w:val="32"/>
        </w:rPr>
        <w:t>试验区应当建立高效便捷的商事登记制度。全面实行多证合一、一照一码商事登记模式，实现企业登记全程电子化。探索一业一证商事登记改革。</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第二十四</w:t>
      </w:r>
      <w:r>
        <w:rPr>
          <w:rFonts w:hint="eastAsia" w:ascii="黑体" w:hAnsi="黑体" w:eastAsia="黑体" w:cs="黑体"/>
          <w:snapToGrid w:val="0"/>
          <w:color w:val="auto"/>
          <w:kern w:val="0"/>
          <w:sz w:val="32"/>
          <w:szCs w:val="32"/>
          <w:shd w:val="clear" w:color="FFFFFF" w:fill="D9D9D9"/>
          <w:lang w:eastAsia="zh-CN"/>
        </w:rPr>
        <w:t>二十三</w:t>
      </w:r>
      <w:r>
        <w:rPr>
          <w:rFonts w:ascii="黑体" w:hAnsi="黑体" w:eastAsia="黑体" w:cs="黑体"/>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hint="eastAsia" w:eastAsia="仿宋_GB2312" w:cs="仿宋_GB2312"/>
          <w:color w:val="auto"/>
          <w:sz w:val="32"/>
          <w:szCs w:val="32"/>
        </w:rPr>
        <w:t>试验区应</w:t>
      </w:r>
      <w:r>
        <w:rPr>
          <w:rFonts w:hint="eastAsia" w:ascii="Times New Roman" w:hAnsi="Times New Roman" w:eastAsia="仿宋_GB2312" w:cs="Times New Roman"/>
          <w:color w:val="auto"/>
          <w:sz w:val="32"/>
          <w:szCs w:val="32"/>
        </w:rPr>
        <w:t>当加快推进政务服务规范化、标准化和信息化建设，精简审批事项，优化审批流程，缩短审批时限，提高审批效率。</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第二十五</w:t>
      </w:r>
      <w:r>
        <w:rPr>
          <w:rFonts w:hint="eastAsia" w:ascii="黑体" w:hAnsi="黑体" w:eastAsia="黑体" w:cs="黑体"/>
          <w:snapToGrid w:val="0"/>
          <w:color w:val="auto"/>
          <w:kern w:val="0"/>
          <w:sz w:val="32"/>
          <w:szCs w:val="32"/>
          <w:shd w:val="clear" w:color="FFFFFF" w:fill="D9D9D9"/>
          <w:lang w:eastAsia="zh-CN"/>
        </w:rPr>
        <w:t>二十四</w:t>
      </w:r>
      <w:r>
        <w:rPr>
          <w:rFonts w:ascii="黑体" w:hAnsi="黑体" w:eastAsia="黑体" w:cs="黑体"/>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试验区按照通关便利、安全、高效的原则，推广应用国际贸易“单一窗口”。</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推进建立跨部门综合管理机制，实现海关、税务、外汇管理等部门之间信息互换、监管互认、执法互助。</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深化服务贸易创新发展试点，促进仓储物流、研发设计、检验检测、</w:t>
      </w:r>
      <w:r>
        <w:rPr>
          <w:rFonts w:hint="eastAsia" w:ascii="Times New Roman" w:hAnsi="Times New Roman" w:eastAsia="仿宋_GB2312" w:cs="Times New Roman"/>
          <w:color w:val="auto"/>
          <w:sz w:val="32"/>
          <w:szCs w:val="32"/>
          <w:shd w:val="clear" w:color="FFFFFF" w:fill="D9D9D9"/>
          <w:lang w:val="en-US" w:eastAsia="zh-CN"/>
        </w:rPr>
        <w:t>维修、</w:t>
      </w:r>
      <w:r>
        <w:rPr>
          <w:rFonts w:ascii="Times New Roman" w:hAnsi="Times New Roman" w:eastAsia="仿宋_GB2312" w:cs="Times New Roman"/>
          <w:color w:val="auto"/>
          <w:sz w:val="32"/>
          <w:szCs w:val="32"/>
        </w:rPr>
        <w:t>国际结算、分销、展览等服务贸易发展。</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color w:val="auto"/>
          <w:sz w:val="32"/>
          <w:szCs w:val="32"/>
          <w:u w:val="none"/>
        </w:rPr>
      </w:pPr>
      <w:r>
        <w:rPr>
          <w:rFonts w:ascii="黑体" w:hAnsi="黑体" w:eastAsia="黑体" w:cs="黑体"/>
          <w:color w:val="auto"/>
          <w:sz w:val="32"/>
          <w:szCs w:val="32"/>
        </w:rPr>
        <w:t>第二十六</w:t>
      </w:r>
      <w:r>
        <w:rPr>
          <w:rFonts w:hint="eastAsia" w:ascii="黑体" w:hAnsi="黑体" w:eastAsia="黑体" w:cs="黑体"/>
          <w:snapToGrid w:val="0"/>
          <w:color w:val="auto"/>
          <w:kern w:val="0"/>
          <w:sz w:val="32"/>
          <w:szCs w:val="32"/>
          <w:shd w:val="clear" w:color="FFFFFF" w:fill="D9D9D9"/>
          <w:lang w:eastAsia="zh-CN"/>
        </w:rPr>
        <w:t>二十五</w:t>
      </w:r>
      <w:r>
        <w:rPr>
          <w:rFonts w:ascii="黑体" w:hAnsi="黑体" w:eastAsia="黑体" w:cs="黑体"/>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仿宋_GB2312"/>
          <w:color w:val="auto"/>
          <w:sz w:val="32"/>
          <w:szCs w:val="32"/>
        </w:rPr>
        <w:t>试验区建设两岸电子商务经济合作区，推动与台湾地区在电子商务相关领域的投资与合作。</w:t>
      </w:r>
      <w:r>
        <w:rPr>
          <w:rFonts w:hint="eastAsia" w:ascii="Times New Roman" w:hAnsi="Times New Roman" w:eastAsia="黑体" w:cs="黑体"/>
          <w:color w:val="auto"/>
          <w:sz w:val="32"/>
          <w:szCs w:val="32"/>
          <w:u w:val="none"/>
        </w:rPr>
        <w:t>支持昆山建设国家电子商务示范基地。</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第二十七</w:t>
      </w:r>
      <w:r>
        <w:rPr>
          <w:rFonts w:hint="eastAsia" w:ascii="黑体" w:hAnsi="黑体" w:eastAsia="黑体" w:cs="黑体"/>
          <w:snapToGrid w:val="0"/>
          <w:color w:val="auto"/>
          <w:kern w:val="0"/>
          <w:sz w:val="32"/>
          <w:szCs w:val="32"/>
          <w:shd w:val="clear" w:color="FFFFFF" w:fill="D9D9D9"/>
          <w:lang w:eastAsia="zh-CN"/>
        </w:rPr>
        <w:t>二十六</w:t>
      </w:r>
      <w:r>
        <w:rPr>
          <w:rFonts w:ascii="黑体" w:hAnsi="黑体" w:eastAsia="黑体" w:cs="黑体"/>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试验区制定涉及市场主体相关政策，应当征求区内企业、行业协会、商会等方面意见。</w:t>
      </w:r>
    </w:p>
    <w:p>
      <w:pPr>
        <w:keepNext w:val="0"/>
        <w:keepLines w:val="0"/>
        <w:pageBreakBefore w:val="0"/>
        <w:widowControl w:val="0"/>
        <w:kinsoku/>
        <w:wordWrap/>
        <w:overflowPunct/>
        <w:topLinePunct w:val="0"/>
        <w:bidi w:val="0"/>
        <w:snapToGrid/>
        <w:spacing w:line="600" w:lineRule="exact"/>
        <w:ind w:firstLine="64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对依法应当由市场主体自主决策的各类事项，任何单位和个人不得干预。</w:t>
      </w:r>
    </w:p>
    <w:p>
      <w:pPr>
        <w:keepNext w:val="0"/>
        <w:keepLines w:val="0"/>
        <w:pageBreakBefore w:val="0"/>
        <w:widowControl w:val="0"/>
        <w:kinsoku/>
        <w:wordWrap/>
        <w:overflowPunct/>
        <w:topLinePunct w:val="0"/>
        <w:bidi w:val="0"/>
        <w:snapToGrid/>
        <w:spacing w:line="600" w:lineRule="exact"/>
        <w:ind w:firstLine="640"/>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bidi w:val="0"/>
        <w:snapToGrid/>
        <w:spacing w:line="600" w:lineRule="exact"/>
        <w:jc w:val="center"/>
        <w:textAlignment w:val="auto"/>
        <w:rPr>
          <w:rFonts w:ascii="黑体" w:hAnsi="黑体" w:eastAsia="黑体" w:cs="黑体"/>
          <w:color w:val="auto"/>
          <w:sz w:val="32"/>
          <w:szCs w:val="32"/>
        </w:rPr>
      </w:pPr>
      <w:r>
        <w:rPr>
          <w:rFonts w:ascii="黑体" w:hAnsi="黑体" w:eastAsia="黑体" w:cs="黑体"/>
          <w:color w:val="auto"/>
          <w:sz w:val="32"/>
          <w:szCs w:val="32"/>
        </w:rPr>
        <w:t>第六章</w:t>
      </w:r>
      <w:r>
        <w:rPr>
          <w:rFonts w:hint="eastAsia" w:ascii="黑体" w:hAnsi="黑体" w:eastAsia="黑体" w:cs="黑体"/>
          <w:color w:val="auto"/>
          <w:sz w:val="32"/>
          <w:szCs w:val="32"/>
          <w:lang w:val="en-US" w:eastAsia="zh-CN"/>
        </w:rPr>
        <w:t xml:space="preserve">  </w:t>
      </w:r>
      <w:r>
        <w:rPr>
          <w:rFonts w:ascii="黑体" w:hAnsi="黑体" w:eastAsia="黑体" w:cs="黑体"/>
          <w:color w:val="auto"/>
          <w:sz w:val="32"/>
          <w:szCs w:val="32"/>
        </w:rPr>
        <w:t>金融财税</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第二十八</w:t>
      </w:r>
      <w:r>
        <w:rPr>
          <w:rFonts w:hint="eastAsia" w:ascii="黑体" w:hAnsi="黑体" w:eastAsia="黑体" w:cs="黑体"/>
          <w:snapToGrid w:val="0"/>
          <w:color w:val="auto"/>
          <w:kern w:val="0"/>
          <w:sz w:val="32"/>
          <w:szCs w:val="32"/>
          <w:shd w:val="clear" w:color="FFFFFF" w:fill="D9D9D9"/>
          <w:lang w:eastAsia="zh-CN"/>
        </w:rPr>
        <w:t>二十七</w:t>
      </w:r>
      <w:r>
        <w:rPr>
          <w:rFonts w:ascii="黑体" w:hAnsi="黑体" w:eastAsia="黑体" w:cs="黑体"/>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仿宋_GB2312"/>
          <w:color w:val="auto"/>
          <w:sz w:val="32"/>
          <w:szCs w:val="32"/>
        </w:rPr>
        <w:t>探索与台湾地区在金融机构准入、金融业务、金融市场、金融产品等方面合作的具体途径，拓展两岸金融合作领域。</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支持不同层级、不同功能、不同类型、不同所有制的金融机构进入试验区，引导和鼓励台资、民间资本投资试验区内金融业。</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鼓励金融机构根据国家规定，在试验区开展金融产品、业务、服务和风险管理等方面创新。</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hint="eastAsia" w:ascii="Times New Roman" w:hAnsi="Times New Roman" w:eastAsia="仿宋_GB2312" w:cs="Times New Roman"/>
          <w:color w:val="auto"/>
          <w:sz w:val="32"/>
          <w:szCs w:val="32"/>
          <w:lang w:eastAsia="zh-CN"/>
        </w:rPr>
        <w:t>　</w:t>
      </w:r>
      <w:r>
        <w:rPr>
          <w:rFonts w:ascii="黑体" w:hAnsi="黑体" w:eastAsia="黑体" w:cs="黑体"/>
          <w:color w:val="auto"/>
          <w:sz w:val="32"/>
          <w:szCs w:val="32"/>
        </w:rPr>
        <w:t>第二十九</w:t>
      </w:r>
      <w:r>
        <w:rPr>
          <w:rFonts w:hint="eastAsia" w:ascii="黑体" w:hAnsi="黑体" w:eastAsia="黑体" w:cs="黑体"/>
          <w:snapToGrid w:val="0"/>
          <w:color w:val="auto"/>
          <w:kern w:val="0"/>
          <w:sz w:val="32"/>
          <w:szCs w:val="32"/>
          <w:shd w:val="clear" w:color="FFFFFF" w:fill="D9D9D9"/>
          <w:lang w:eastAsia="zh-CN"/>
        </w:rPr>
        <w:t>二十八</w:t>
      </w:r>
      <w:r>
        <w:rPr>
          <w:rFonts w:ascii="黑体" w:hAnsi="黑体" w:eastAsia="黑体" w:cs="黑体"/>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试验区探索与台湾地区在金融机构准入、金融业务、金融市场、金融产品等方面合作的具体途径，拓展两岸金融合作领域。</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strike/>
          <w:dstrike w:val="0"/>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第三十</w:t>
      </w:r>
      <w:r>
        <w:rPr>
          <w:rFonts w:hint="eastAsia" w:ascii="黑体" w:hAnsi="黑体" w:eastAsia="黑体" w:cs="黑体"/>
          <w:snapToGrid w:val="0"/>
          <w:color w:val="auto"/>
          <w:kern w:val="0"/>
          <w:sz w:val="32"/>
          <w:szCs w:val="32"/>
          <w:shd w:val="clear" w:color="FFFFFF" w:fill="D9D9D9"/>
          <w:lang w:eastAsia="zh-CN"/>
        </w:rPr>
        <w:t>二十九</w:t>
      </w:r>
      <w:r>
        <w:rPr>
          <w:rFonts w:ascii="黑体" w:hAnsi="黑体" w:eastAsia="黑体" w:cs="黑体"/>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仿宋_GB2312"/>
          <w:color w:val="auto"/>
          <w:sz w:val="32"/>
          <w:szCs w:val="32"/>
        </w:rPr>
        <w:t>支持试验区扩大人民币跨境使用</w:t>
      </w:r>
      <w:r>
        <w:rPr>
          <w:rFonts w:hint="eastAsia" w:ascii="黑体" w:hAnsi="黑体" w:eastAsia="黑体" w:cs="黑体"/>
          <w:color w:val="auto"/>
          <w:sz w:val="32"/>
          <w:szCs w:val="32"/>
        </w:rPr>
        <w:t>。</w:t>
      </w:r>
      <w:r>
        <w:rPr>
          <w:rFonts w:hint="eastAsia" w:ascii="Times New Roman" w:hAnsi="Times New Roman" w:eastAsia="仿宋_GB2312" w:cs="仿宋_GB2312"/>
          <w:color w:val="auto"/>
          <w:sz w:val="32"/>
          <w:szCs w:val="32"/>
          <w:lang w:eastAsia="zh-CN"/>
        </w:rPr>
        <w:t>试验区可以按照国家有关规定开展个人经常项下跨境人民币业务、台资企业集团内部人民币跨境双向借款业务、台湾地区金融机构跨境直接投资人民币结算业务等跨境人民币业务。</w:t>
      </w:r>
    </w:p>
    <w:p>
      <w:pPr>
        <w:keepNext w:val="0"/>
        <w:keepLines w:val="0"/>
        <w:pageBreakBefore w:val="0"/>
        <w:widowControl w:val="0"/>
        <w:kinsoku/>
        <w:wordWrap/>
        <w:overflowPunct/>
        <w:topLinePunct w:val="0"/>
        <w:bidi w:val="0"/>
        <w:snapToGrid/>
        <w:spacing w:line="600" w:lineRule="exact"/>
        <w:ind w:firstLine="653"/>
        <w:textAlignment w:val="auto"/>
        <w:rPr>
          <w:rFonts w:hint="eastAsia" w:ascii="仿宋_GB2312" w:hAnsi="Times New Roman" w:eastAsia="仿宋_GB2312" w:cs="Times New Roman"/>
          <w:snapToGrid w:val="0"/>
          <w:color w:val="auto"/>
          <w:kern w:val="0"/>
          <w:sz w:val="32"/>
          <w:szCs w:val="32"/>
          <w:shd w:val="clear" w:color="FFFFFF" w:fill="D9D9D9"/>
          <w:lang w:eastAsia="zh-CN"/>
        </w:rPr>
      </w:pPr>
      <w:r>
        <w:rPr>
          <w:rFonts w:hint="eastAsia" w:ascii="仿宋_GB2312" w:hAnsi="Times New Roman" w:eastAsia="仿宋_GB2312" w:cs="Times New Roman"/>
          <w:snapToGrid w:val="0"/>
          <w:color w:val="auto"/>
          <w:kern w:val="0"/>
          <w:sz w:val="32"/>
          <w:szCs w:val="32"/>
          <w:shd w:val="clear" w:color="FFFFFF" w:fill="D9D9D9"/>
          <w:lang w:eastAsia="zh-CN"/>
        </w:rPr>
        <w:t>支持试验区在满足真实性、合规性相关管理规定和风险可控前提下，开展线上审核跨境人民币结算电子单证业务。</w:t>
      </w:r>
    </w:p>
    <w:p>
      <w:pPr>
        <w:keepNext w:val="0"/>
        <w:keepLines w:val="0"/>
        <w:pageBreakBefore w:val="0"/>
        <w:widowControl w:val="0"/>
        <w:kinsoku/>
        <w:wordWrap/>
        <w:overflowPunct/>
        <w:topLinePunct w:val="0"/>
        <w:bidi w:val="0"/>
        <w:snapToGrid/>
        <w:spacing w:line="600" w:lineRule="exact"/>
        <w:ind w:firstLine="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支持</w:t>
      </w:r>
      <w:r>
        <w:rPr>
          <w:rFonts w:hint="eastAsia" w:ascii="黑体" w:hAnsi="黑体" w:eastAsia="黑体" w:cs="黑体"/>
          <w:color w:val="auto"/>
          <w:sz w:val="32"/>
          <w:szCs w:val="32"/>
          <w:lang w:val="en-US" w:eastAsia="zh-CN"/>
        </w:rPr>
        <w:t>注册地在</w:t>
      </w:r>
      <w:r>
        <w:rPr>
          <w:rFonts w:hint="eastAsia" w:ascii="黑体" w:hAnsi="黑体" w:eastAsia="黑体" w:cs="黑体"/>
          <w:color w:val="auto"/>
          <w:sz w:val="32"/>
          <w:szCs w:val="32"/>
        </w:rPr>
        <w:t>试验区内的外商投资企业以人民币出资时，可不再开立人民币资本金专用账户，结算银行可直接为企业办理人民币资本金入账结算业务。</w:t>
      </w:r>
    </w:p>
    <w:p>
      <w:pPr>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color w:val="auto"/>
          <w:sz w:val="32"/>
          <w:szCs w:val="32"/>
          <w:lang w:eastAsia="zh-CN"/>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第三十</w:t>
      </w:r>
      <w:r>
        <w:rPr>
          <w:rFonts w:hint="eastAsia" w:ascii="黑体" w:hAnsi="黑体" w:eastAsia="黑体" w:cs="黑体"/>
          <w:color w:val="auto"/>
          <w:sz w:val="32"/>
          <w:szCs w:val="32"/>
          <w:lang w:val="en-US" w:eastAsia="zh-CN"/>
        </w:rPr>
        <w:t>一</w:t>
      </w:r>
      <w:r>
        <w:rPr>
          <w:rFonts w:hint="eastAsia" w:ascii="黑体" w:hAnsi="黑体" w:eastAsia="黑体" w:cs="黑体"/>
          <w:snapToGrid w:val="0"/>
          <w:color w:val="auto"/>
          <w:kern w:val="0"/>
          <w:sz w:val="32"/>
          <w:szCs w:val="32"/>
          <w:shd w:val="clear" w:color="FFFFFF" w:fill="D9D9D9"/>
          <w:lang w:eastAsia="zh-CN"/>
        </w:rPr>
        <w:t>三十</w:t>
      </w:r>
      <w:r>
        <w:rPr>
          <w:rFonts w:hint="eastAsia" w:ascii="黑体" w:hAnsi="黑体" w:eastAsia="黑体" w:cs="黑体"/>
          <w:color w:val="auto"/>
          <w:sz w:val="32"/>
          <w:szCs w:val="32"/>
          <w:lang w:eastAsia="zh-CN"/>
        </w:rPr>
        <w:t>条</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支持试验区在风险可控前提下，探索</w:t>
      </w:r>
      <w:r>
        <w:rPr>
          <w:rFonts w:hint="eastAsia" w:ascii="Times New Roman" w:hAnsi="Times New Roman" w:eastAsia="仿宋_GB2312" w:cs="仿宋_GB2312"/>
          <w:snapToGrid/>
          <w:color w:val="auto"/>
          <w:kern w:val="2"/>
          <w:sz w:val="32"/>
          <w:szCs w:val="32"/>
          <w:shd w:val="clear"/>
          <w:lang w:eastAsia="zh-CN"/>
        </w:rPr>
        <w:t>以资本项目可兑换为重点的</w:t>
      </w:r>
      <w:r>
        <w:rPr>
          <w:rFonts w:hint="eastAsia" w:ascii="Times New Roman" w:hAnsi="Times New Roman" w:eastAsia="仿宋_GB2312" w:cs="仿宋_GB2312"/>
          <w:color w:val="auto"/>
          <w:sz w:val="32"/>
          <w:szCs w:val="32"/>
          <w:lang w:eastAsia="zh-CN"/>
        </w:rPr>
        <w:t>外汇管理改革</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支持银行优化新型国际贸易结算</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65"/>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支持试验区内符合条件的企业开展跨国公司</w:t>
      </w:r>
      <w:r>
        <w:rPr>
          <w:rFonts w:hint="eastAsia" w:ascii="仿宋_GB2312" w:hAnsi="Times New Roman" w:eastAsia="仿宋_GB2312" w:cs="Times New Roman"/>
          <w:snapToGrid w:val="0"/>
          <w:color w:val="auto"/>
          <w:kern w:val="0"/>
          <w:sz w:val="32"/>
          <w:szCs w:val="32"/>
          <w:shd w:val="clear" w:color="FFFFFF" w:fill="D9D9D9"/>
          <w:lang w:eastAsia="zh-CN"/>
        </w:rPr>
        <w:t>跨境资金集中运营管理</w:t>
      </w:r>
      <w:r>
        <w:rPr>
          <w:rFonts w:hint="eastAsia" w:ascii="黑体" w:hAnsi="黑体" w:eastAsia="黑体" w:cs="黑体"/>
          <w:color w:val="auto"/>
          <w:sz w:val="32"/>
          <w:szCs w:val="32"/>
        </w:rPr>
        <w:t>本外币一体化资金池业务</w:t>
      </w:r>
      <w:r>
        <w:rPr>
          <w:rFonts w:hint="eastAsia" w:ascii="Times New Roman" w:hAnsi="Times New Roman" w:eastAsia="仿宋_GB2312" w:cs="仿宋_GB2312"/>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65"/>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支持试验区内银行利用数字外管平台开放的企业资信、收付汇率等信息，开展合规经营和业务创新，做好对中小微涉外企业的金融服务。</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第三十二</w:t>
      </w:r>
      <w:r>
        <w:rPr>
          <w:rFonts w:hint="eastAsia" w:ascii="黑体" w:hAnsi="黑体" w:eastAsia="黑体" w:cs="黑体"/>
          <w:snapToGrid w:val="0"/>
          <w:color w:val="auto"/>
          <w:kern w:val="0"/>
          <w:sz w:val="32"/>
          <w:szCs w:val="32"/>
          <w:shd w:val="clear" w:color="FFFFFF" w:fill="D9D9D9"/>
          <w:lang w:eastAsia="zh-CN"/>
        </w:rPr>
        <w:t>三十一</w:t>
      </w:r>
      <w:r>
        <w:rPr>
          <w:rFonts w:ascii="黑体" w:hAnsi="黑体" w:eastAsia="黑体" w:cs="黑体"/>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试验区探索创新两岸货币合作的方式和途径。支持试验区内符合条件的银行机构为境外企业和个人开立新台币账户，支持试验区内银行与台湾地区银行之间开立新台币同业往来账户等业务。探索丰富人民币对新台币交易、避险产品。</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color w:val="auto"/>
          <w:kern w:val="2"/>
          <w:sz w:val="30"/>
          <w:szCs w:val="30"/>
          <w:lang w:val="en-US" w:eastAsia="zh-CN" w:bidi="ar-SA"/>
        </w:rPr>
      </w:pPr>
      <w:r>
        <w:rPr>
          <w:rFonts w:ascii="黑体" w:hAnsi="黑体" w:eastAsia="黑体" w:cs="黑体"/>
          <w:color w:val="auto"/>
          <w:sz w:val="32"/>
          <w:szCs w:val="32"/>
        </w:rPr>
        <w:t>第三十三</w:t>
      </w:r>
      <w:r>
        <w:rPr>
          <w:rFonts w:hint="eastAsia" w:ascii="黑体" w:hAnsi="黑体" w:eastAsia="黑体" w:cs="黑体"/>
          <w:snapToGrid w:val="0"/>
          <w:color w:val="auto"/>
          <w:kern w:val="0"/>
          <w:sz w:val="32"/>
          <w:szCs w:val="32"/>
          <w:shd w:val="clear" w:color="FFFFFF" w:fill="D9D9D9"/>
          <w:lang w:eastAsia="zh-CN"/>
        </w:rPr>
        <w:t>三十二</w:t>
      </w:r>
      <w:r>
        <w:rPr>
          <w:rFonts w:ascii="黑体" w:hAnsi="黑体" w:eastAsia="黑体" w:cs="黑体"/>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仿宋_GB2312"/>
          <w:color w:val="auto"/>
          <w:sz w:val="32"/>
          <w:szCs w:val="32"/>
        </w:rPr>
        <w:t>支持试验区内符合条件的企业在境内外上市。</w:t>
      </w:r>
      <w:r>
        <w:rPr>
          <w:rFonts w:hint="eastAsia" w:ascii="黑体" w:hAnsi="黑体" w:eastAsia="黑体" w:cs="黑体"/>
          <w:color w:val="auto"/>
          <w:sz w:val="32"/>
          <w:szCs w:val="32"/>
        </w:rPr>
        <w:t>支持已上市企业依法并购重组、再融资。支持试验区内符合条件的企业及机构发行科技创新债券。</w:t>
      </w:r>
      <w:r>
        <w:rPr>
          <w:rFonts w:hint="eastAsia" w:ascii="Times New Roman" w:hAnsi="Times New Roman" w:eastAsia="仿宋_GB2312" w:cs="仿宋_GB2312"/>
          <w:color w:val="auto"/>
          <w:sz w:val="32"/>
          <w:szCs w:val="32"/>
        </w:rPr>
        <w:t>试验区内企业和金融机构可以根据国家有关规定在境外发行本外币债券。</w:t>
      </w:r>
      <w:r>
        <w:rPr>
          <w:rFonts w:hint="eastAsia" w:ascii="黑体" w:hAnsi="黑体" w:eastAsia="黑体" w:cs="黑体"/>
          <w:color w:val="auto"/>
          <w:sz w:val="32"/>
          <w:szCs w:val="32"/>
        </w:rPr>
        <w:t>支持试验区内符合条件的投资项目</w:t>
      </w:r>
      <w:r>
        <w:rPr>
          <w:rFonts w:hint="eastAsia" w:ascii="黑体" w:hAnsi="黑体" w:eastAsia="黑体" w:cs="黑体"/>
          <w:color w:val="auto"/>
          <w:sz w:val="32"/>
          <w:szCs w:val="32"/>
          <w:lang w:val="en-US" w:eastAsia="zh-CN"/>
        </w:rPr>
        <w:t>申报</w:t>
      </w:r>
      <w:r>
        <w:rPr>
          <w:rFonts w:hint="eastAsia" w:ascii="黑体" w:hAnsi="黑体" w:eastAsia="黑体" w:cs="黑体"/>
          <w:color w:val="auto"/>
          <w:sz w:val="32"/>
          <w:szCs w:val="32"/>
        </w:rPr>
        <w:t>发行不动产投资信托基金。</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第三十四</w:t>
      </w:r>
      <w:r>
        <w:rPr>
          <w:rFonts w:hint="eastAsia" w:ascii="黑体" w:hAnsi="黑体" w:eastAsia="黑体" w:cs="黑体"/>
          <w:snapToGrid w:val="0"/>
          <w:color w:val="auto"/>
          <w:kern w:val="0"/>
          <w:sz w:val="32"/>
          <w:szCs w:val="32"/>
          <w:shd w:val="clear" w:color="FFFFFF" w:fill="D9D9D9"/>
          <w:lang w:eastAsia="zh-CN"/>
        </w:rPr>
        <w:t>三十三</w:t>
      </w:r>
      <w:r>
        <w:rPr>
          <w:rFonts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ascii="Times New Roman" w:hAnsi="Times New Roman" w:eastAsia="仿宋_GB2312" w:cs="Times New Roman"/>
          <w:color w:val="auto"/>
          <w:sz w:val="32"/>
          <w:szCs w:val="32"/>
        </w:rPr>
        <w:t>试验区支持发展绿色金融。鼓励银行业金融机构加大对绿色企业的信贷支持，探索排污权和碳排放权等与环境保护相关权益的抵押、质押融资模式。支持保险业金融机构开展环境污染责任险、安全生产责任险等促进环境保护与安全生产的保险业务。</w:t>
      </w:r>
    </w:p>
    <w:p>
      <w:pPr>
        <w:keepNext w:val="0"/>
        <w:keepLines w:val="0"/>
        <w:pageBreakBefore w:val="0"/>
        <w:widowControl w:val="0"/>
        <w:kinsoku/>
        <w:wordWrap/>
        <w:overflowPunct/>
        <w:topLinePunct w:val="0"/>
        <w:bidi w:val="0"/>
        <w:snapToGrid/>
        <w:spacing w:line="600" w:lineRule="exact"/>
        <w:ind w:firstLine="647"/>
        <w:textAlignment w:val="auto"/>
        <w:rPr>
          <w:rFonts w:ascii="Times New Roman" w:hAnsi="Times New Roman" w:eastAsia="仿宋_GB2312" w:cs="仿宋_GB2312"/>
          <w:color w:val="auto"/>
          <w:sz w:val="32"/>
          <w:szCs w:val="32"/>
        </w:rPr>
      </w:pPr>
      <w:r>
        <w:rPr>
          <w:rFonts w:ascii="黑体" w:hAnsi="黑体" w:eastAsia="黑体" w:cs="黑体"/>
          <w:color w:val="auto"/>
          <w:sz w:val="32"/>
          <w:szCs w:val="32"/>
        </w:rPr>
        <w:t>第三十五</w:t>
      </w:r>
      <w:r>
        <w:rPr>
          <w:rFonts w:hint="eastAsia" w:ascii="黑体" w:hAnsi="黑体" w:eastAsia="黑体" w:cs="黑体"/>
          <w:snapToGrid w:val="0"/>
          <w:color w:val="auto"/>
          <w:kern w:val="0"/>
          <w:sz w:val="32"/>
          <w:szCs w:val="32"/>
          <w:shd w:val="clear" w:color="FFFFFF" w:fill="D9D9D9"/>
          <w:lang w:eastAsia="zh-CN"/>
        </w:rPr>
        <w:t>三十四</w:t>
      </w:r>
      <w:r>
        <w:rPr>
          <w:rFonts w:ascii="黑体" w:hAnsi="黑体" w:eastAsia="黑体" w:cs="黑体"/>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仿宋_GB2312"/>
          <w:color w:val="auto"/>
          <w:sz w:val="32"/>
          <w:szCs w:val="32"/>
        </w:rPr>
        <w:t>支持试验区按照国家规定开展财政</w:t>
      </w:r>
      <w:r>
        <w:rPr>
          <w:rFonts w:hint="eastAsia" w:ascii="仿宋_GB2312" w:hAnsi="Times New Roman" w:eastAsia="仿宋_GB2312" w:cs="Times New Roman"/>
          <w:snapToGrid w:val="0"/>
          <w:color w:val="auto"/>
          <w:kern w:val="0"/>
          <w:sz w:val="32"/>
          <w:szCs w:val="32"/>
          <w:shd w:val="clear" w:color="FFFFFF" w:fill="D9D9D9"/>
          <w:lang w:eastAsia="zh-CN"/>
        </w:rPr>
        <w:t>和税收</w:t>
      </w:r>
      <w:r>
        <w:rPr>
          <w:rFonts w:ascii="Times New Roman" w:hAnsi="Times New Roman" w:eastAsia="仿宋_GB2312" w:cs="仿宋_GB2312"/>
          <w:color w:val="auto"/>
          <w:sz w:val="32"/>
          <w:szCs w:val="32"/>
        </w:rPr>
        <w:t>政策试点，探索更加有效的促进投资增长、贸易发展、科技进步和金融创新的财政</w:t>
      </w:r>
      <w:r>
        <w:rPr>
          <w:rFonts w:ascii="Times New Roman" w:hAnsi="Times New Roman" w:eastAsia="仿宋_GB2312" w:cs="仿宋_GB2312"/>
          <w:color w:val="auto"/>
          <w:sz w:val="32"/>
          <w:szCs w:val="32"/>
          <w:shd w:val="clear" w:color="FFFFFF" w:fill="D9D9D9"/>
        </w:rPr>
        <w:t>和税收</w:t>
      </w:r>
      <w:r>
        <w:rPr>
          <w:rFonts w:ascii="Times New Roman" w:hAnsi="Times New Roman" w:eastAsia="仿宋_GB2312" w:cs="仿宋_GB2312"/>
          <w:color w:val="auto"/>
          <w:sz w:val="32"/>
          <w:szCs w:val="32"/>
        </w:rPr>
        <w:t>政策。</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第三十六</w:t>
      </w:r>
      <w:r>
        <w:rPr>
          <w:rFonts w:hint="eastAsia" w:ascii="黑体" w:hAnsi="黑体" w:eastAsia="黑体" w:cs="黑体"/>
          <w:snapToGrid w:val="0"/>
          <w:color w:val="auto"/>
          <w:kern w:val="0"/>
          <w:sz w:val="32"/>
          <w:szCs w:val="32"/>
          <w:shd w:val="clear" w:color="FFFFFF" w:fill="D9D9D9"/>
          <w:lang w:eastAsia="zh-CN"/>
        </w:rPr>
        <w:t>三十五</w:t>
      </w:r>
      <w:r>
        <w:rPr>
          <w:rFonts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ascii="Times New Roman" w:hAnsi="Times New Roman" w:eastAsia="仿宋_GB2312" w:cs="Times New Roman"/>
          <w:color w:val="auto"/>
          <w:sz w:val="32"/>
          <w:szCs w:val="32"/>
        </w:rPr>
        <w:t>支持昆山综合保税区开展企业增值税一般纳税人资格试点，并结合试点开展情况出台相关支持措施。</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对备案的试点企业从境外入区以及从特殊监管区非试点企业进口的应检物，按照一般进口程序实施管理，其出区应检物不再实施检验监管和验证管理。</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bidi w:val="0"/>
        <w:snapToGrid/>
        <w:spacing w:line="600" w:lineRule="exact"/>
        <w:jc w:val="center"/>
        <w:textAlignment w:val="auto"/>
        <w:rPr>
          <w:rFonts w:ascii="黑体" w:hAnsi="黑体" w:eastAsia="黑体" w:cs="黑体"/>
          <w:color w:val="auto"/>
          <w:sz w:val="32"/>
          <w:szCs w:val="32"/>
        </w:rPr>
      </w:pPr>
      <w:r>
        <w:rPr>
          <w:rFonts w:ascii="黑体" w:hAnsi="黑体" w:eastAsia="黑体" w:cs="黑体"/>
          <w:color w:val="auto"/>
          <w:sz w:val="32"/>
          <w:szCs w:val="32"/>
        </w:rPr>
        <w:t>第七章</w:t>
      </w:r>
      <w:r>
        <w:rPr>
          <w:rFonts w:hint="eastAsia" w:ascii="黑体" w:hAnsi="黑体" w:eastAsia="黑体" w:cs="黑体"/>
          <w:color w:val="auto"/>
          <w:sz w:val="32"/>
          <w:szCs w:val="32"/>
          <w:lang w:val="en-US" w:eastAsia="zh-CN"/>
        </w:rPr>
        <w:t xml:space="preserve">  </w:t>
      </w:r>
      <w:r>
        <w:rPr>
          <w:rFonts w:ascii="黑体" w:hAnsi="黑体" w:eastAsia="黑体" w:cs="黑体"/>
          <w:color w:val="auto"/>
          <w:sz w:val="32"/>
          <w:szCs w:val="32"/>
        </w:rPr>
        <w:t>人才科创</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第三十七</w:t>
      </w:r>
      <w:r>
        <w:rPr>
          <w:rFonts w:hint="eastAsia" w:ascii="黑体" w:hAnsi="黑体" w:eastAsia="黑体" w:cs="黑体"/>
          <w:snapToGrid w:val="0"/>
          <w:color w:val="auto"/>
          <w:kern w:val="0"/>
          <w:sz w:val="32"/>
          <w:szCs w:val="32"/>
          <w:shd w:val="clear" w:color="FFFFFF" w:fill="D9D9D9"/>
          <w:lang w:eastAsia="zh-CN"/>
        </w:rPr>
        <w:t>三十六</w:t>
      </w:r>
      <w:r>
        <w:rPr>
          <w:rFonts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ascii="Times New Roman" w:hAnsi="Times New Roman" w:eastAsia="仿宋_GB2312" w:cs="Times New Roman"/>
          <w:color w:val="auto"/>
          <w:sz w:val="32"/>
          <w:szCs w:val="32"/>
        </w:rPr>
        <w:t>试验区应当重点培育和引进产业链关键企业和领军企业，鼓励和支持区内企业引进境内外核心技术，开展技术创新，培育自主品牌，参与制定国际标准、国家标准、地方标准和行业标准。</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Times New Roman" w:hAnsi="Times New Roman" w:eastAsia="仿宋_GB2312" w:cs="仿宋_GB2312"/>
          <w:color w:val="auto"/>
          <w:sz w:val="32"/>
          <w:szCs w:val="32"/>
        </w:rPr>
        <w:t>支持试验区加大对国家高新技术企业培育和扶持力度。试验区内</w:t>
      </w:r>
      <w:r>
        <w:rPr>
          <w:rFonts w:hint="eastAsia" w:ascii="Times New Roman" w:hAnsi="Times New Roman" w:eastAsia="仿宋_GB2312" w:cs="仿宋_GB2312"/>
          <w:color w:val="auto"/>
          <w:sz w:val="32"/>
          <w:szCs w:val="32"/>
        </w:rPr>
        <w:t>企业申请国家高新技术企业认定的，省有关部门应当提供便利化服务</w:t>
      </w:r>
      <w:r>
        <w:rPr>
          <w:rFonts w:hint="eastAsia" w:ascii="黑体" w:hAnsi="黑体" w:eastAsia="黑体" w:cs="黑体"/>
          <w:color w:val="auto"/>
          <w:sz w:val="32"/>
          <w:szCs w:val="32"/>
        </w:rPr>
        <w:t>。</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第三十八</w:t>
      </w:r>
      <w:r>
        <w:rPr>
          <w:rFonts w:hint="eastAsia" w:ascii="黑体" w:hAnsi="黑体" w:eastAsia="黑体" w:cs="黑体"/>
          <w:snapToGrid w:val="0"/>
          <w:color w:val="auto"/>
          <w:kern w:val="0"/>
          <w:sz w:val="32"/>
          <w:szCs w:val="32"/>
          <w:shd w:val="clear" w:color="FFFFFF" w:fill="D9D9D9"/>
          <w:lang w:eastAsia="zh-CN"/>
        </w:rPr>
        <w:t>三十七</w:t>
      </w:r>
      <w:r>
        <w:rPr>
          <w:rFonts w:ascii="黑体" w:hAnsi="黑体" w:eastAsia="黑体" w:cs="黑体"/>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仿宋_GB2312"/>
          <w:color w:val="auto"/>
          <w:sz w:val="32"/>
          <w:szCs w:val="32"/>
        </w:rPr>
        <w:t>试验区</w:t>
      </w:r>
      <w:r>
        <w:rPr>
          <w:rFonts w:hint="eastAsia" w:ascii="仿宋_GB2312" w:hAnsi="Times New Roman" w:eastAsia="仿宋_GB2312" w:cs="Times New Roman"/>
          <w:snapToGrid w:val="0"/>
          <w:color w:val="auto"/>
          <w:kern w:val="0"/>
          <w:sz w:val="32"/>
          <w:szCs w:val="32"/>
          <w:shd w:val="clear" w:color="FFFFFF" w:fill="D9D9D9"/>
          <w:lang w:eastAsia="zh-CN"/>
        </w:rPr>
        <w:t>鼓励</w:t>
      </w:r>
      <w:r>
        <w:rPr>
          <w:rFonts w:hint="eastAsia" w:ascii="黑体" w:hAnsi="黑体" w:eastAsia="黑体" w:cs="黑体"/>
          <w:color w:val="auto"/>
          <w:sz w:val="32"/>
          <w:szCs w:val="32"/>
        </w:rPr>
        <w:t>支持</w:t>
      </w:r>
      <w:r>
        <w:rPr>
          <w:rFonts w:hint="eastAsia" w:ascii="Times New Roman" w:hAnsi="Times New Roman" w:eastAsia="仿宋_GB2312" w:cs="仿宋_GB2312"/>
          <w:color w:val="auto"/>
          <w:sz w:val="32"/>
          <w:szCs w:val="32"/>
        </w:rPr>
        <w:t>境内外科学技术研究开发机构、高等院校、企业在试验区共同设立合作研发平台，联合建设重点实验室、</w:t>
      </w:r>
      <w:r>
        <w:rPr>
          <w:rFonts w:hint="eastAsia" w:ascii="仿宋_GB2312" w:hAnsi="Times New Roman" w:eastAsia="仿宋_GB2312" w:cs="Times New Roman"/>
          <w:snapToGrid w:val="0"/>
          <w:color w:val="auto"/>
          <w:kern w:val="0"/>
          <w:sz w:val="32"/>
          <w:szCs w:val="32"/>
          <w:shd w:val="clear" w:color="FFFFFF" w:fill="D9D9D9"/>
          <w:lang w:eastAsia="zh-CN"/>
        </w:rPr>
        <w:t>工程技术研究中心、工程研究中心、</w:t>
      </w:r>
      <w:r>
        <w:rPr>
          <w:rFonts w:hint="eastAsia" w:ascii="黑体" w:hAnsi="黑体" w:eastAsia="黑体" w:cs="黑体"/>
          <w:color w:val="auto"/>
          <w:sz w:val="32"/>
          <w:szCs w:val="32"/>
        </w:rPr>
        <w:t>产业技术</w:t>
      </w:r>
      <w:r>
        <w:rPr>
          <w:rFonts w:hint="eastAsia" w:ascii="黑体" w:hAnsi="黑体" w:eastAsia="黑体" w:cs="黑体"/>
          <w:color w:val="auto"/>
          <w:sz w:val="32"/>
          <w:szCs w:val="32"/>
          <w:lang w:val="en-US" w:eastAsia="zh-CN"/>
        </w:rPr>
        <w:t>工程</w:t>
      </w:r>
      <w:r>
        <w:rPr>
          <w:rFonts w:hint="eastAsia" w:ascii="黑体" w:hAnsi="黑体" w:eastAsia="黑体" w:cs="黑体"/>
          <w:color w:val="auto"/>
          <w:sz w:val="32"/>
          <w:szCs w:val="32"/>
          <w:lang w:eastAsia="zh-CN"/>
        </w:rPr>
        <w:t>化</w:t>
      </w:r>
      <w:r>
        <w:rPr>
          <w:rFonts w:hint="eastAsia" w:ascii="黑体" w:hAnsi="黑体" w:eastAsia="黑体" w:cs="黑体"/>
          <w:color w:val="auto"/>
          <w:sz w:val="32"/>
          <w:szCs w:val="32"/>
        </w:rPr>
        <w:t>中心</w:t>
      </w:r>
      <w:r>
        <w:rPr>
          <w:rFonts w:hint="eastAsia" w:ascii="Times New Roman" w:hAnsi="Times New Roman" w:eastAsia="仿宋_GB2312" w:cs="仿宋_GB2312"/>
          <w:color w:val="auto"/>
          <w:sz w:val="32"/>
          <w:szCs w:val="32"/>
        </w:rPr>
        <w:t>、企业技术中心等科学技术创新平台，开展基础研究、应用基础研究、前沿技术和共性关键技术研究，联合培养研发团队和技术人才。</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鼓励境内外相关机构在试验区设立技术转移、技术培训、成果转化、企业孵化等科学技术服务机构。</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第三十九</w:t>
      </w:r>
      <w:r>
        <w:rPr>
          <w:rFonts w:hint="eastAsia" w:ascii="黑体" w:hAnsi="黑体" w:eastAsia="黑体" w:cs="黑体"/>
          <w:snapToGrid w:val="0"/>
          <w:color w:val="auto"/>
          <w:kern w:val="0"/>
          <w:sz w:val="32"/>
          <w:szCs w:val="32"/>
          <w:shd w:val="clear" w:color="FFFFFF" w:fill="D9D9D9"/>
          <w:lang w:eastAsia="zh-CN"/>
        </w:rPr>
        <w:t>三十八</w:t>
      </w:r>
      <w:r>
        <w:rPr>
          <w:rFonts w:ascii="黑体" w:hAnsi="黑体" w:eastAsia="黑体" w:cs="黑体"/>
          <w:color w:val="auto"/>
          <w:sz w:val="32"/>
          <w:szCs w:val="32"/>
        </w:rPr>
        <w:t>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试验区应当建立境内外人才引进、使用、评价和激励机制，为在试验区工作的人才提供创新创业、配偶就业、子女教育、房屋购买或者租赁、医疗保障等方面的便利和帮助。</w:t>
      </w:r>
    </w:p>
    <w:p>
      <w:pPr>
        <w:keepNext w:val="0"/>
        <w:keepLines w:val="0"/>
        <w:pageBreakBefore w:val="0"/>
        <w:widowControl w:val="0"/>
        <w:kinsoku/>
        <w:wordWrap/>
        <w:overflowPunct/>
        <w:topLinePunct w:val="0"/>
        <w:bidi w:val="0"/>
        <w:snapToGrid/>
        <w:spacing w:line="600" w:lineRule="exact"/>
        <w:textAlignment w:val="auto"/>
        <w:rPr>
          <w:rFonts w:hint="eastAsia" w:ascii="仿宋_GB2312" w:hAnsi="Times New Roman" w:eastAsia="仿宋_GB2312" w:cs="Times New Roman"/>
          <w:snapToGrid w:val="0"/>
          <w:color w:val="auto"/>
          <w:kern w:val="0"/>
          <w:sz w:val="32"/>
          <w:szCs w:val="32"/>
          <w:shd w:val="pct30" w:color="auto" w:fill="FFFFFF"/>
          <w:lang w:eastAsia="zh-CN"/>
        </w:rPr>
      </w:pPr>
      <w:r>
        <w:rPr>
          <w:rFonts w:ascii="Times New Roman" w:hAnsi="Times New Roman" w:eastAsia="仿宋_GB2312" w:cs="Times New Roman"/>
          <w:color w:val="auto"/>
          <w:sz w:val="32"/>
          <w:szCs w:val="32"/>
        </w:rPr>
        <w:t>　　</w:t>
      </w:r>
      <w:r>
        <w:rPr>
          <w:rFonts w:hint="eastAsia" w:ascii="黑体" w:hAnsi="黑体" w:eastAsia="黑体" w:cs="黑体"/>
          <w:snapToGrid w:val="0"/>
          <w:color w:val="auto"/>
          <w:kern w:val="0"/>
          <w:sz w:val="32"/>
          <w:szCs w:val="32"/>
          <w:shd w:val="clear" w:color="FFFFFF" w:fill="D9D9D9"/>
          <w:lang w:eastAsia="zh-CN"/>
        </w:rPr>
        <w:t>第三十九条</w:t>
      </w:r>
      <w:r>
        <w:rPr>
          <w:rFonts w:hint="eastAsia" w:ascii="仿宋_GB2312" w:hAnsi="Times New Roman" w:eastAsia="仿宋_GB2312" w:cs="Times New Roman"/>
          <w:snapToGrid w:val="0"/>
          <w:color w:val="auto"/>
          <w:kern w:val="0"/>
          <w:sz w:val="32"/>
          <w:szCs w:val="32"/>
          <w:shd w:val="clear" w:color="FFFFFF" w:fill="D9D9D9"/>
          <w:lang w:val="en-US" w:eastAsia="zh-CN"/>
        </w:rPr>
        <w:t xml:space="preserve">  </w:t>
      </w:r>
      <w:r>
        <w:rPr>
          <w:rFonts w:hint="eastAsia" w:ascii="仿宋_GB2312" w:hAnsi="Times New Roman" w:eastAsia="仿宋_GB2312" w:cs="Times New Roman"/>
          <w:snapToGrid w:val="0"/>
          <w:color w:val="auto"/>
          <w:kern w:val="0"/>
          <w:sz w:val="32"/>
          <w:szCs w:val="32"/>
          <w:shd w:val="clear" w:color="FFFFFF" w:fill="D9D9D9"/>
          <w:lang w:eastAsia="zh-CN"/>
        </w:rPr>
        <w:t>允许试验区按照不超过境内高于境外个人所得税税负差额的标准，给予在区内工作的境外高端人才、紧缺人才补贴。</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第四十条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试验区建设对台科技合作与交流基地、两岸人才合作试验区、和谐劳动关系综合试验区，推动两岸科技和人才合作交流。</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试验区应当发挥两岸青年就业创业基地和示范点等平台作用，鼓励台湾地区青年创新创业，并提供配套服务和政策支持。</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第四十一条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在试验区内推进台湾地区职业资格与大陆专业技术职称比照认定。已取得台湾地区执业资格的机构和人员，经认定可以在试验区从事与该资格相对应的专业服务活动；依法需要办理营业执照的，应当办理营业执照。</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bidi w:val="0"/>
        <w:snapToGrid/>
        <w:spacing w:line="600" w:lineRule="exact"/>
        <w:jc w:val="center"/>
        <w:textAlignment w:val="auto"/>
        <w:rPr>
          <w:rFonts w:ascii="黑体" w:hAnsi="黑体" w:eastAsia="黑体" w:cs="黑体"/>
          <w:color w:val="auto"/>
          <w:sz w:val="32"/>
          <w:szCs w:val="32"/>
        </w:rPr>
      </w:pPr>
      <w:r>
        <w:rPr>
          <w:rFonts w:ascii="黑体" w:hAnsi="黑体" w:eastAsia="黑体" w:cs="黑体"/>
          <w:color w:val="auto"/>
          <w:sz w:val="32"/>
          <w:szCs w:val="32"/>
        </w:rPr>
        <w:t>第八章</w:t>
      </w:r>
      <w:r>
        <w:rPr>
          <w:rFonts w:hint="eastAsia" w:ascii="黑体" w:hAnsi="黑体" w:eastAsia="黑体" w:cs="黑体"/>
          <w:color w:val="auto"/>
          <w:sz w:val="32"/>
          <w:szCs w:val="32"/>
          <w:lang w:val="en-US" w:eastAsia="zh-CN"/>
        </w:rPr>
        <w:t xml:space="preserve">  </w:t>
      </w:r>
      <w:r>
        <w:rPr>
          <w:rFonts w:ascii="黑体" w:hAnsi="黑体" w:eastAsia="黑体" w:cs="黑体"/>
          <w:color w:val="auto"/>
          <w:sz w:val="32"/>
          <w:szCs w:val="32"/>
        </w:rPr>
        <w:t>社会服务</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第四十二条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试验区探索实行与台湾地区人员往来更加开放、便利的出入境管理措施。</w:t>
      </w:r>
    </w:p>
    <w:p>
      <w:pPr>
        <w:keepNext w:val="0"/>
        <w:keepLines w:val="0"/>
        <w:pageBreakBefore w:val="0"/>
        <w:widowControl w:val="0"/>
        <w:kinsoku/>
        <w:wordWrap/>
        <w:overflowPunct/>
        <w:topLinePunct w:val="0"/>
        <w:bidi w:val="0"/>
        <w:snapToGrid/>
        <w:spacing w:line="600" w:lineRule="exact"/>
        <w:ind w:firstLine="641"/>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第四十三条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在试验区内工作生活的台湾地区居民及其配偶、子女、父母，符合规定条件的，与本地居民在医疗、教育、养老</w:t>
      </w:r>
      <w:r>
        <w:rPr>
          <w:rFonts w:hint="eastAsia" w:ascii="黑体" w:hAnsi="黑体" w:eastAsia="黑体" w:cs="黑体"/>
          <w:color w:val="auto"/>
          <w:sz w:val="32"/>
          <w:szCs w:val="32"/>
        </w:rPr>
        <w:t>、</w:t>
      </w:r>
      <w:r>
        <w:rPr>
          <w:rFonts w:hint="eastAsia" w:eastAsia="黑体" w:cs="黑体" w:asciiTheme="minorHAnsi" w:hAnsiTheme="minorHAnsi"/>
          <w:color w:val="auto"/>
          <w:sz w:val="32"/>
          <w:szCs w:val="32"/>
          <w:lang w:val="en-US" w:eastAsia="zh-CN"/>
        </w:rPr>
        <w:t>购房</w:t>
      </w:r>
      <w:r>
        <w:rPr>
          <w:rFonts w:ascii="Times New Roman" w:hAnsi="Times New Roman" w:eastAsia="仿宋_GB2312" w:cs="Times New Roman"/>
          <w:color w:val="auto"/>
          <w:sz w:val="32"/>
          <w:szCs w:val="32"/>
        </w:rPr>
        <w:t>等基本公共服务方面享受同等待遇。法律、法规另有规定的，从其规定。</w:t>
      </w:r>
    </w:p>
    <w:p>
      <w:pPr>
        <w:keepNext w:val="0"/>
        <w:keepLines w:val="0"/>
        <w:pageBreakBefore w:val="0"/>
        <w:widowControl w:val="0"/>
        <w:kinsoku/>
        <w:wordWrap/>
        <w:overflowPunct/>
        <w:topLinePunct w:val="0"/>
        <w:bidi w:val="0"/>
        <w:snapToGrid/>
        <w:spacing w:line="600" w:lineRule="exact"/>
        <w:ind w:firstLine="641"/>
        <w:textAlignment w:val="auto"/>
        <w:rPr>
          <w:rFonts w:eastAsia="黑体" w:cs="黑体"/>
          <w:color w:val="auto"/>
          <w:sz w:val="32"/>
          <w:szCs w:val="32"/>
        </w:rPr>
      </w:pPr>
      <w:r>
        <w:rPr>
          <w:rFonts w:hint="eastAsia" w:eastAsia="黑体" w:cs="黑体"/>
          <w:color w:val="auto"/>
          <w:sz w:val="32"/>
          <w:szCs w:val="32"/>
          <w:lang w:val="en-US" w:eastAsia="zh-CN"/>
        </w:rPr>
        <w:t>鼓励和支持</w:t>
      </w:r>
      <w:r>
        <w:rPr>
          <w:rFonts w:hint="eastAsia" w:eastAsia="黑体" w:cs="黑体"/>
          <w:color w:val="auto"/>
          <w:sz w:val="32"/>
          <w:szCs w:val="32"/>
        </w:rPr>
        <w:t>台胞子女</w:t>
      </w:r>
      <w:r>
        <w:rPr>
          <w:rFonts w:hint="eastAsia" w:ascii="Times New Roman" w:hAnsi="Times New Roman" w:eastAsia="黑体" w:cs="黑体"/>
          <w:color w:val="auto"/>
          <w:sz w:val="32"/>
          <w:szCs w:val="32"/>
        </w:rPr>
        <w:t>在昆山市中小学和公立幼儿园就读</w:t>
      </w:r>
      <w:r>
        <w:rPr>
          <w:rFonts w:hint="eastAsia" w:ascii="Times New Roman" w:hAnsi="Times New Roman" w:eastAsia="黑体" w:cs="黑体"/>
          <w:color w:val="auto"/>
          <w:sz w:val="32"/>
          <w:szCs w:val="32"/>
          <w:lang w:eastAsia="zh-CN"/>
        </w:rPr>
        <w:t>，</w:t>
      </w:r>
      <w:r>
        <w:rPr>
          <w:rFonts w:hint="eastAsia" w:ascii="Times New Roman" w:hAnsi="Times New Roman" w:eastAsia="黑体" w:cs="黑体"/>
          <w:color w:val="auto"/>
          <w:sz w:val="32"/>
          <w:szCs w:val="32"/>
          <w:lang w:val="en-US" w:eastAsia="zh-CN"/>
        </w:rPr>
        <w:t>与当地学生享受同等待遇</w:t>
      </w:r>
      <w:r>
        <w:rPr>
          <w:rFonts w:hint="eastAsia" w:eastAsia="黑体" w:cs="黑体"/>
          <w:color w:val="auto"/>
          <w:sz w:val="32"/>
          <w:szCs w:val="32"/>
        </w:rPr>
        <w:t>。</w:t>
      </w:r>
    </w:p>
    <w:p>
      <w:pPr>
        <w:keepNext w:val="0"/>
        <w:keepLines w:val="0"/>
        <w:pageBreakBefore w:val="0"/>
        <w:widowControl w:val="0"/>
        <w:kinsoku/>
        <w:wordWrap/>
        <w:overflowPunct/>
        <w:topLinePunct w:val="0"/>
        <w:bidi w:val="0"/>
        <w:snapToGrid/>
        <w:spacing w:line="600" w:lineRule="exact"/>
        <w:ind w:firstLine="641"/>
        <w:textAlignment w:val="auto"/>
        <w:rPr>
          <w:rFonts w:hint="eastAsia" w:eastAsia="黑体" w:cs="黑体"/>
          <w:color w:val="auto"/>
          <w:sz w:val="32"/>
          <w:szCs w:val="32"/>
        </w:rPr>
      </w:pPr>
      <w:r>
        <w:rPr>
          <w:rFonts w:hint="eastAsia" w:eastAsia="黑体" w:cs="黑体"/>
          <w:color w:val="auto"/>
          <w:sz w:val="32"/>
          <w:szCs w:val="32"/>
        </w:rPr>
        <w:t>支持在试验区试点</w:t>
      </w:r>
      <w:r>
        <w:rPr>
          <w:rFonts w:hint="eastAsia" w:ascii="Times New Roman" w:hAnsi="Times New Roman" w:eastAsia="黑体" w:cs="黑体"/>
          <w:color w:val="auto"/>
          <w:sz w:val="32"/>
          <w:szCs w:val="32"/>
        </w:rPr>
        <w:t>实施台湾地区居民购房支付便利化</w:t>
      </w:r>
      <w:r>
        <w:rPr>
          <w:rFonts w:hint="eastAsia" w:eastAsia="黑体" w:cs="黑体"/>
          <w:color w:val="auto"/>
          <w:sz w:val="32"/>
          <w:szCs w:val="32"/>
        </w:rPr>
        <w:t>政策，更好满足台湾同胞购房需求。</w:t>
      </w:r>
    </w:p>
    <w:p>
      <w:pPr>
        <w:keepNext w:val="0"/>
        <w:keepLines w:val="0"/>
        <w:pageBreakBefore w:val="0"/>
        <w:widowControl w:val="0"/>
        <w:kinsoku/>
        <w:wordWrap/>
        <w:overflowPunct/>
        <w:topLinePunct w:val="0"/>
        <w:bidi w:val="0"/>
        <w:snapToGrid/>
        <w:spacing w:line="600" w:lineRule="exact"/>
        <w:ind w:firstLine="641"/>
        <w:textAlignment w:val="auto"/>
        <w:rPr>
          <w:rFonts w:hint="eastAsia" w:eastAsia="黑体" w:cs="黑体"/>
          <w:color w:val="auto"/>
          <w:sz w:val="32"/>
          <w:szCs w:val="32"/>
        </w:rPr>
      </w:pPr>
      <w:r>
        <w:rPr>
          <w:rFonts w:hint="eastAsia" w:eastAsia="黑体" w:cs="黑体"/>
          <w:color w:val="auto"/>
          <w:sz w:val="32"/>
          <w:szCs w:val="32"/>
        </w:rPr>
        <w:t>支持</w:t>
      </w:r>
      <w:r>
        <w:rPr>
          <w:rFonts w:hint="eastAsia" w:eastAsia="黑体" w:cs="黑体"/>
          <w:color w:val="auto"/>
          <w:sz w:val="32"/>
          <w:szCs w:val="32"/>
          <w:lang w:val="en-US" w:eastAsia="zh-CN"/>
        </w:rPr>
        <w:t>具有</w:t>
      </w:r>
      <w:r>
        <w:rPr>
          <w:rFonts w:hint="eastAsia" w:eastAsia="黑体" w:cs="黑体"/>
          <w:color w:val="auto"/>
          <w:sz w:val="32"/>
          <w:szCs w:val="32"/>
        </w:rPr>
        <w:t>台湾地区</w:t>
      </w:r>
      <w:r>
        <w:rPr>
          <w:rFonts w:hint="eastAsia" w:eastAsia="黑体" w:cs="黑体"/>
          <w:color w:val="auto"/>
          <w:sz w:val="32"/>
          <w:szCs w:val="32"/>
          <w:lang w:val="en-US" w:eastAsia="zh-CN"/>
        </w:rPr>
        <w:t>合法执业资格的</w:t>
      </w:r>
      <w:r>
        <w:rPr>
          <w:rFonts w:hint="eastAsia" w:ascii="黑体" w:hAnsi="黑体" w:eastAsia="黑体" w:cs="黑体"/>
          <w:snapToGrid w:val="0"/>
          <w:color w:val="auto"/>
          <w:kern w:val="0"/>
          <w:sz w:val="32"/>
          <w:szCs w:val="32"/>
          <w:shd w:val="clear" w:color="auto" w:fill="auto"/>
          <w:lang w:eastAsia="zh-CN"/>
        </w:rPr>
        <w:t>医师和</w:t>
      </w:r>
      <w:r>
        <w:rPr>
          <w:rFonts w:hint="eastAsia" w:eastAsia="黑体" w:cs="黑体"/>
          <w:color w:val="auto"/>
          <w:sz w:val="32"/>
          <w:szCs w:val="32"/>
        </w:rPr>
        <w:t>护士在试验区短期执业。</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第四十四条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试验区建设两岸教育交流与合作基地，加强与台湾地区优质教育资源合作。</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支持台资企业举办或者参与举办的院校在试验区依法办学，在招生就业、学科建设、专业设置、项目申报、校企合作和实习实训基地建设等方面加大支持力度，提升学校办学水平。</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第四十五条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试验区应当深化与台湾地区在文化、体育</w:t>
      </w:r>
      <w:r>
        <w:rPr>
          <w:rFonts w:hint="eastAsia" w:ascii="Times New Roman" w:hAnsi="Times New Roman" w:eastAsia="仿宋_GB2312" w:cs="Times New Roman"/>
          <w:color w:val="auto"/>
          <w:sz w:val="32"/>
          <w:szCs w:val="32"/>
          <w:lang w:eastAsia="zh-CN"/>
        </w:rPr>
        <w:t>、</w:t>
      </w:r>
      <w:r>
        <w:rPr>
          <w:rFonts w:hint="eastAsia" w:ascii="黑体" w:hAnsi="黑体" w:eastAsia="黑体" w:cs="黑体"/>
          <w:color w:val="auto"/>
          <w:sz w:val="32"/>
          <w:szCs w:val="32"/>
          <w:lang w:val="en-US" w:eastAsia="zh-CN"/>
        </w:rPr>
        <w:t>旅游</w:t>
      </w:r>
      <w:r>
        <w:rPr>
          <w:rFonts w:ascii="Times New Roman" w:hAnsi="Times New Roman" w:eastAsia="仿宋_GB2312" w:cs="Times New Roman"/>
          <w:color w:val="auto"/>
          <w:sz w:val="32"/>
          <w:szCs w:val="32"/>
          <w:shd w:val="clear" w:color="auto" w:fill="auto"/>
        </w:rPr>
        <w:t>和宗教</w:t>
      </w:r>
      <w:r>
        <w:rPr>
          <w:rFonts w:ascii="Times New Roman" w:hAnsi="Times New Roman" w:eastAsia="仿宋_GB2312" w:cs="Times New Roman"/>
          <w:color w:val="auto"/>
          <w:sz w:val="32"/>
          <w:szCs w:val="32"/>
        </w:rPr>
        <w:t>等领域的交流合作。</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建立两岸文化交流合作项目快速联合审批通道，鼓励台湾地区文化艺术界团体和人士参与交流活动。</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第四十六条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试验区可以创新社区治理模式，鼓励社区内居住的台湾地区居民积极参与本社区事务。</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bidi w:val="0"/>
        <w:snapToGrid/>
        <w:spacing w:line="600" w:lineRule="exact"/>
        <w:jc w:val="center"/>
        <w:textAlignment w:val="auto"/>
        <w:rPr>
          <w:rFonts w:ascii="黑体" w:hAnsi="黑体" w:eastAsia="黑体" w:cs="黑体"/>
          <w:color w:val="auto"/>
          <w:sz w:val="32"/>
          <w:szCs w:val="32"/>
        </w:rPr>
      </w:pPr>
      <w:r>
        <w:rPr>
          <w:rFonts w:ascii="黑体" w:hAnsi="黑体" w:eastAsia="黑体" w:cs="黑体"/>
          <w:color w:val="auto"/>
          <w:sz w:val="32"/>
          <w:szCs w:val="32"/>
        </w:rPr>
        <w:t>第九章</w:t>
      </w:r>
      <w:r>
        <w:rPr>
          <w:rFonts w:hint="eastAsia" w:ascii="黑体" w:hAnsi="黑体" w:eastAsia="黑体" w:cs="黑体"/>
          <w:color w:val="auto"/>
          <w:sz w:val="32"/>
          <w:szCs w:val="32"/>
          <w:lang w:val="en-US" w:eastAsia="zh-CN"/>
        </w:rPr>
        <w:t xml:space="preserve">  </w:t>
      </w:r>
      <w:r>
        <w:rPr>
          <w:rFonts w:ascii="黑体" w:hAnsi="黑体" w:eastAsia="黑体" w:cs="黑体"/>
          <w:color w:val="auto"/>
          <w:sz w:val="32"/>
          <w:szCs w:val="32"/>
        </w:rPr>
        <w:t>法治环境</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第四十七条</w:t>
      </w:r>
      <w:r>
        <w:rPr>
          <w:rFonts w:ascii="Times New Roman" w:hAnsi="Times New Roman" w:eastAsia="仿宋_GB2312" w:cs="Times New Roman"/>
          <w:color w:val="auto"/>
          <w:sz w:val="32"/>
          <w:szCs w:val="32"/>
        </w:rPr>
        <w:t xml:space="preserve"> 试验区改革创新需要暂时调整或者停止适用地方性法规或者政府规章的，可以向制定机关提出建议，由制定机关依法作出决定。</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第四十八条</w:t>
      </w:r>
      <w:r>
        <w:rPr>
          <w:rFonts w:ascii="Times New Roman" w:hAnsi="Times New Roman" w:eastAsia="仿宋_GB2312" w:cs="Times New Roman"/>
          <w:color w:val="auto"/>
          <w:sz w:val="32"/>
          <w:szCs w:val="32"/>
        </w:rPr>
        <w:t xml:space="preserve"> 支持探索建立涉台案件综合审判组织、检察组织，集中办理涉台刑事、民事、行政等案件。</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符合条件的台湾地区居民可以担任人民陪审员、</w:t>
      </w:r>
      <w:r>
        <w:rPr>
          <w:rFonts w:ascii="Times New Roman" w:hAnsi="Times New Roman" w:eastAsia="仿宋_GB2312" w:cs="Times New Roman"/>
          <w:color w:val="auto"/>
          <w:sz w:val="32"/>
          <w:szCs w:val="32"/>
          <w:shd w:val="clear" w:color="FFFFFF" w:fill="D9D9D9"/>
        </w:rPr>
        <w:t>人民监督员、</w:t>
      </w:r>
      <w:r>
        <w:rPr>
          <w:rFonts w:ascii="Times New Roman" w:hAnsi="Times New Roman" w:eastAsia="仿宋_GB2312" w:cs="Times New Roman"/>
          <w:color w:val="auto"/>
          <w:sz w:val="32"/>
          <w:szCs w:val="32"/>
        </w:rPr>
        <w:t>人民调解员，参与办理涉台案件、处理涉台纠纷。</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第四十九条</w:t>
      </w:r>
      <w:r>
        <w:rPr>
          <w:rFonts w:ascii="Times New Roman" w:hAnsi="Times New Roman" w:eastAsia="仿宋_GB2312" w:cs="Times New Roman"/>
          <w:color w:val="auto"/>
          <w:sz w:val="32"/>
          <w:szCs w:val="32"/>
        </w:rPr>
        <w:t xml:space="preserve"> 支持试验区开展仲裁工作，完善民商事纠纷多元化解决机制。</w:t>
      </w:r>
    </w:p>
    <w:p>
      <w:pPr>
        <w:keepNext w:val="0"/>
        <w:keepLines w:val="0"/>
        <w:pageBreakBefore w:val="0"/>
        <w:widowControl w:val="0"/>
        <w:kinsoku/>
        <w:wordWrap/>
        <w:overflowPunct/>
        <w:topLinePunct w:val="0"/>
        <w:bidi w:val="0"/>
        <w:snapToGrid/>
        <w:spacing w:line="600" w:lineRule="exact"/>
        <w:ind w:firstLine="640"/>
        <w:textAlignment w:val="auto"/>
        <w:rPr>
          <w:rFonts w:hint="eastAsia" w:ascii="Times New Roman" w:hAnsi="Times New Roman" w:eastAsia="仿宋_GB2312" w:cs="Times New Roman"/>
          <w:color w:val="auto"/>
          <w:sz w:val="32"/>
          <w:szCs w:val="32"/>
          <w:shd w:val="clear" w:color="FFFFFF" w:fill="D9D9D9"/>
          <w:lang w:val="en-US" w:eastAsia="zh-CN"/>
        </w:rPr>
      </w:pPr>
      <w:r>
        <w:rPr>
          <w:rFonts w:hint="eastAsia" w:ascii="Times New Roman" w:hAnsi="Times New Roman" w:eastAsia="仿宋_GB2312" w:cs="Times New Roman"/>
          <w:color w:val="auto"/>
          <w:sz w:val="32"/>
          <w:szCs w:val="32"/>
          <w:shd w:val="clear" w:color="auto" w:fill="auto"/>
          <w:lang w:val="en-US" w:eastAsia="zh-CN"/>
        </w:rPr>
        <w:t>鼓励仲裁机构在试验区设立联系点。支持两岸仲裁机构在试验区开展合作。</w:t>
      </w:r>
    </w:p>
    <w:p>
      <w:pPr>
        <w:keepNext w:val="0"/>
        <w:keepLines w:val="0"/>
        <w:pageBreakBefore w:val="0"/>
        <w:widowControl w:val="0"/>
        <w:kinsoku/>
        <w:wordWrap/>
        <w:overflowPunct/>
        <w:topLinePunct w:val="0"/>
        <w:bidi w:val="0"/>
        <w:snapToGrid/>
        <w:spacing w:line="600" w:lineRule="exact"/>
        <w:ind w:firstLine="64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具有经济贸易、科学技术、法律等专门知识的台湾地区居民，可以受聘担任仲裁员，依法参与涉台民商事纠纷仲裁。</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第五十条</w:t>
      </w:r>
      <w:r>
        <w:rPr>
          <w:rFonts w:ascii="Times New Roman" w:hAnsi="Times New Roman" w:eastAsia="仿宋_GB2312" w:cs="Times New Roman"/>
          <w:color w:val="auto"/>
          <w:sz w:val="32"/>
          <w:szCs w:val="32"/>
        </w:rPr>
        <w:t xml:space="preserve"> 试验区支持培育和发展专业化、国际化的律师事务所以及调解、公证、鉴定等法律服务机构。</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推进境内外律师事务所联营、合作，促进仲裁、调解、公证、鉴定等法律服务提供方式多元化，为试验区建设提供优质、高效的法律服务。</w:t>
      </w:r>
    </w:p>
    <w:p>
      <w:pPr>
        <w:keepNext w:val="0"/>
        <w:keepLines w:val="0"/>
        <w:pageBreakBefore w:val="0"/>
        <w:widowControl w:val="0"/>
        <w:kinsoku/>
        <w:wordWrap/>
        <w:overflowPunct/>
        <w:topLinePunct w:val="0"/>
        <w:bidi w:val="0"/>
        <w:snapToGrid/>
        <w:spacing w:line="600" w:lineRule="exact"/>
        <w:ind w:firstLine="651"/>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第五十一条</w:t>
      </w:r>
      <w:r>
        <w:rPr>
          <w:rFonts w:ascii="Times New Roman" w:hAnsi="Times New Roman" w:eastAsia="仿宋_GB2312" w:cs="Times New Roman"/>
          <w:color w:val="auto"/>
          <w:sz w:val="32"/>
          <w:szCs w:val="32"/>
        </w:rPr>
        <w:t xml:space="preserve"> 试验区应当加强知识产权保护，开展重大经济科技活动和境内外人才引进项目知识产权评议，建立支撑创新发展的知识产权运行和保障机制；完善跨部门知识产权执法协作机制，实现知识产权行政保护与司法保护的有效衔接。</w:t>
      </w:r>
    </w:p>
    <w:p>
      <w:pPr>
        <w:pStyle w:val="6"/>
        <w:keepNext w:val="0"/>
        <w:keepLines w:val="0"/>
        <w:pageBreakBefore w:val="0"/>
        <w:widowControl w:val="0"/>
        <w:kinsoku/>
        <w:wordWrap/>
        <w:overflowPunct/>
        <w:topLinePunct w:val="0"/>
        <w:bidi w:val="0"/>
        <w:snapToGrid/>
        <w:spacing w:line="600" w:lineRule="exact"/>
        <w:ind w:firstLine="651"/>
        <w:textAlignment w:val="auto"/>
        <w:rPr>
          <w:color w:val="auto"/>
        </w:rPr>
      </w:pPr>
    </w:p>
    <w:p>
      <w:pPr>
        <w:keepNext w:val="0"/>
        <w:keepLines w:val="0"/>
        <w:pageBreakBefore w:val="0"/>
        <w:widowControl w:val="0"/>
        <w:kinsoku/>
        <w:wordWrap/>
        <w:overflowPunct/>
        <w:topLinePunct w:val="0"/>
        <w:bidi w:val="0"/>
        <w:snapToGrid/>
        <w:spacing w:line="600" w:lineRule="exact"/>
        <w:jc w:val="center"/>
        <w:textAlignment w:val="auto"/>
        <w:rPr>
          <w:rFonts w:ascii="黑体" w:hAnsi="黑体" w:eastAsia="黑体" w:cs="黑体"/>
          <w:color w:val="auto"/>
          <w:sz w:val="32"/>
          <w:szCs w:val="32"/>
        </w:rPr>
      </w:pPr>
      <w:r>
        <w:rPr>
          <w:rFonts w:ascii="黑体" w:hAnsi="黑体" w:eastAsia="黑体" w:cs="黑体"/>
          <w:color w:val="auto"/>
          <w:sz w:val="32"/>
          <w:szCs w:val="32"/>
        </w:rPr>
        <w:t>第十章</w:t>
      </w:r>
      <w:r>
        <w:rPr>
          <w:rFonts w:hint="eastAsia" w:ascii="黑体" w:hAnsi="黑体" w:eastAsia="黑体" w:cs="黑体"/>
          <w:color w:val="auto"/>
          <w:sz w:val="32"/>
          <w:szCs w:val="32"/>
          <w:lang w:val="en-US" w:eastAsia="zh-CN"/>
        </w:rPr>
        <w:t xml:space="preserve">  </w:t>
      </w:r>
      <w:r>
        <w:rPr>
          <w:rFonts w:ascii="黑体" w:hAnsi="黑体" w:eastAsia="黑体" w:cs="黑体"/>
          <w:color w:val="auto"/>
          <w:sz w:val="32"/>
          <w:szCs w:val="32"/>
        </w:rPr>
        <w:t>附则</w:t>
      </w:r>
    </w:p>
    <w:p>
      <w:pPr>
        <w:pStyle w:val="6"/>
        <w:keepNext w:val="0"/>
        <w:keepLines w:val="0"/>
        <w:pageBreakBefore w:val="0"/>
        <w:widowControl w:val="0"/>
        <w:kinsoku/>
        <w:wordWrap/>
        <w:overflowPunct/>
        <w:topLinePunct w:val="0"/>
        <w:bidi w:val="0"/>
        <w:snapToGrid/>
        <w:spacing w:line="600" w:lineRule="exact"/>
        <w:textAlignment w:val="auto"/>
        <w:rPr>
          <w:color w:val="auto"/>
        </w:rPr>
      </w:pP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w:t>
      </w:r>
      <w:r>
        <w:rPr>
          <w:rFonts w:ascii="黑体" w:hAnsi="黑体" w:eastAsia="黑体" w:cs="黑体"/>
          <w:color w:val="auto"/>
          <w:sz w:val="32"/>
          <w:szCs w:val="32"/>
        </w:rPr>
        <w:t>第五十二条</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本条例自202</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年1月1日起施行。</w:t>
      </w:r>
    </w:p>
    <w:p/>
    <w:sectPr>
      <w:footerReference r:id="rId3" w:type="default"/>
      <w:pgSz w:w="11906" w:h="16838"/>
      <w:pgMar w:top="1984" w:right="1531" w:bottom="1814" w:left="1531" w:header="567" w:footer="170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43"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2</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AoAAAAAAIdO4kAAAAAAAAAAAAAAAAAG&#10;AAAAAAAAAAAAEAAAAJgDAABfcmVscy9QSwECFAAKAAAAAACHTuJAAAAAAAAAAAAAAAAABAAAAAAA&#10;AAAAABAAAAAWAAAAZHJzL1BLAQIUABQAAAAIAIdO4kC9dBt2NwIAAG8EAAAOAAAAAAAAAAEAIAAA&#10;ADUBAABkcnMvZTJvRG9jLnhtbFBLAQIUABQAAAAIAIdO4kCzSVju0AAAAAUBAAAPAAAAAAAAAAEA&#10;IAAAADgAAABkcnMvZG93bnJldi54bWxQSwUGAAAAAAYABgBZAQAA3g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2</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627A0"/>
    <w:rsid w:val="08B7F947"/>
    <w:rsid w:val="1FEF0E43"/>
    <w:rsid w:val="29911DA5"/>
    <w:rsid w:val="326627A0"/>
    <w:rsid w:val="3FFDD2F1"/>
    <w:rsid w:val="4FE959C7"/>
    <w:rsid w:val="502F49A5"/>
    <w:rsid w:val="7ECF83FF"/>
    <w:rsid w:val="7F7D3FC7"/>
    <w:rsid w:val="9FDB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after="160" w:line="278" w:lineRule="auto"/>
      <w:ind w:firstLine="420"/>
    </w:pPr>
    <w:rPr>
      <w:rFonts w:eastAsia="仿宋"/>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5338</Words>
  <Characters>5338</Characters>
  <Lines>0</Lines>
  <Paragraphs>0</Paragraphs>
  <TotalTime>26</TotalTime>
  <ScaleCrop>false</ScaleCrop>
  <LinksUpToDate>false</LinksUpToDate>
  <CharactersWithSpaces>5596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2026-04-15T02:41:00Z</dcterms:created>
  <dc:creator>Maoo</dc:creator>
  <cp:lastModifiedBy>uos</cp:lastModifiedBy>
  <dcterms:modified xsi:type="dcterms:W3CDTF">2026-04-20T17:52:05Z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4B0E1E88D7D81A4E2DF5E56943825FB1</vt:lpwstr>
  </property>
  <property fmtid="{D5CDD505-2E9C-101B-9397-08002B2CF9AE}" pid="4" name="KSOTemplateDocerSaveRecord">
    <vt:lpwstr>eyJoZGlkIjoiNWZkY2FjM2QxM2FjZDVlNWNmOWQxMjg1NDAwNDY0YzciLCJ1c2VySWQiOiI3NDE0OTQ0MjIifQ==</vt:lpwstr>
  </property>
</Properties>
</file>