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395" w:rsidRPr="00073B81" w:rsidRDefault="00E96395" w:rsidP="00E96395">
      <w:pPr>
        <w:autoSpaceDE/>
        <w:autoSpaceDN/>
        <w:snapToGrid/>
        <w:spacing w:line="240" w:lineRule="auto"/>
        <w:ind w:firstLine="0"/>
        <w:rPr>
          <w:rFonts w:eastAsia="黑体"/>
          <w:snapToGrid/>
          <w:kern w:val="2"/>
          <w:szCs w:val="32"/>
        </w:rPr>
      </w:pPr>
      <w:r w:rsidRPr="00073B81">
        <w:rPr>
          <w:rFonts w:eastAsia="黑体" w:hAnsi="黑体"/>
          <w:snapToGrid/>
          <w:kern w:val="2"/>
          <w:szCs w:val="32"/>
        </w:rPr>
        <w:t>附件</w:t>
      </w:r>
      <w:r w:rsidRPr="00073B81">
        <w:rPr>
          <w:rFonts w:eastAsia="黑体"/>
          <w:snapToGrid/>
          <w:kern w:val="2"/>
          <w:szCs w:val="32"/>
        </w:rPr>
        <w:t>2</w:t>
      </w:r>
    </w:p>
    <w:p w:rsidR="00E96395" w:rsidRPr="00073B81" w:rsidRDefault="00E96395" w:rsidP="00E96395">
      <w:pPr>
        <w:autoSpaceDE/>
        <w:autoSpaceDN/>
        <w:snapToGrid/>
        <w:spacing w:line="400" w:lineRule="exact"/>
        <w:ind w:leftChars="250" w:left="800" w:firstLine="0"/>
        <w:rPr>
          <w:rFonts w:ascii="Calibri" w:eastAsia="宋体" w:hAnsi="Calibri"/>
          <w:b/>
          <w:snapToGrid/>
          <w:kern w:val="2"/>
          <w:sz w:val="36"/>
          <w:szCs w:val="36"/>
        </w:rPr>
      </w:pPr>
    </w:p>
    <w:p w:rsidR="00E96395" w:rsidRPr="00073B81" w:rsidRDefault="00E96395" w:rsidP="00E96395">
      <w:pPr>
        <w:autoSpaceDE/>
        <w:autoSpaceDN/>
        <w:snapToGrid/>
        <w:spacing w:line="400" w:lineRule="exact"/>
        <w:ind w:firstLine="0"/>
        <w:jc w:val="center"/>
        <w:rPr>
          <w:rFonts w:ascii="方正小标宋_GBK" w:eastAsia="方正小标宋_GBK" w:hAnsi="Calibri"/>
          <w:snapToGrid/>
          <w:kern w:val="2"/>
          <w:sz w:val="36"/>
          <w:szCs w:val="36"/>
        </w:rPr>
      </w:pPr>
      <w:bookmarkStart w:id="0" w:name="_GoBack"/>
      <w:r w:rsidRPr="00073B81">
        <w:rPr>
          <w:rFonts w:ascii="方正小标宋_GBK" w:eastAsia="方正小标宋_GBK" w:hAnsi="Calibri" w:hint="eastAsia"/>
          <w:snapToGrid/>
          <w:kern w:val="2"/>
          <w:sz w:val="36"/>
          <w:szCs w:val="36"/>
        </w:rPr>
        <w:t>江苏省工业用电峰谷分时电价浮动比例表</w:t>
      </w:r>
    </w:p>
    <w:bookmarkEnd w:id="0"/>
    <w:p w:rsidR="00E96395" w:rsidRPr="00073B81" w:rsidRDefault="00E96395" w:rsidP="00E96395">
      <w:pPr>
        <w:autoSpaceDE/>
        <w:autoSpaceDN/>
        <w:snapToGrid/>
        <w:spacing w:line="400" w:lineRule="exact"/>
        <w:ind w:leftChars="250" w:left="800" w:firstLine="0"/>
        <w:rPr>
          <w:rFonts w:ascii="Calibri" w:eastAsia="宋体" w:hAnsi="Calibri"/>
          <w:b/>
          <w:snapToGrid/>
          <w:kern w:val="2"/>
          <w:sz w:val="36"/>
          <w:szCs w:val="36"/>
        </w:rPr>
      </w:pPr>
    </w:p>
    <w:tbl>
      <w:tblPr>
        <w:tblW w:w="8419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6"/>
        <w:gridCol w:w="1417"/>
        <w:gridCol w:w="2268"/>
        <w:gridCol w:w="1468"/>
      </w:tblGrid>
      <w:tr w:rsidR="00E96395" w:rsidRPr="00073B81" w:rsidTr="00260F4A">
        <w:trPr>
          <w:trHeight w:val="1170"/>
        </w:trPr>
        <w:tc>
          <w:tcPr>
            <w:tcW w:w="3266" w:type="dxa"/>
            <w:shd w:val="clear" w:color="auto" w:fill="auto"/>
            <w:vAlign w:val="bottom"/>
            <w:hideMark/>
          </w:tcPr>
          <w:p w:rsidR="00E96395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Chars="950" w:firstLine="2280"/>
              <w:jc w:val="left"/>
              <w:rPr>
                <w:rFonts w:eastAsia="仿宋_GB2312" w:hint="eastAsia"/>
                <w:snapToGrid/>
                <w:sz w:val="24"/>
                <w:szCs w:val="24"/>
              </w:rPr>
            </w:pPr>
            <w:r>
              <w:rPr>
                <w:rFonts w:eastAsia="仿宋_GB2312" w:hint="eastAsia"/>
                <w:noProof/>
                <w:snapToGrid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741045</wp:posOffset>
                      </wp:positionH>
                      <wp:positionV relativeFrom="paragraph">
                        <wp:posOffset>7620</wp:posOffset>
                      </wp:positionV>
                      <wp:extent cx="1259205" cy="741680"/>
                      <wp:effectExtent l="6350" t="10160" r="10795" b="10160"/>
                      <wp:wrapNone/>
                      <wp:docPr id="3" name="直接箭头连接符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259205" cy="74168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直接箭头连接符 3" o:spid="_x0000_s1026" type="#_x0000_t32" style="position:absolute;left:0;text-align:left;margin-left:58.35pt;margin-top:.6pt;width:99.15pt;height:58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"/>
                  </w:pict>
                </mc:Fallback>
              </mc:AlternateContent>
            </w:r>
            <w:r>
              <w:rPr>
                <w:rFonts w:eastAsia="仿宋_GB2312" w:hint="eastAsia"/>
                <w:snapToGrid/>
                <w:sz w:val="24"/>
                <w:szCs w:val="24"/>
              </w:rPr>
              <w:t>时段</w:t>
            </w:r>
          </w:p>
          <w:p w:rsidR="00E96395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Chars="460" w:firstLine="1104"/>
              <w:jc w:val="left"/>
              <w:rPr>
                <w:rFonts w:eastAsia="仿宋_GB2312" w:hint="eastAsia"/>
                <w:sz w:val="24"/>
                <w:szCs w:val="24"/>
              </w:rPr>
            </w:pPr>
            <w:r>
              <w:rPr>
                <w:rFonts w:eastAsia="仿宋_GB2312" w:hint="eastAsia"/>
                <w:noProof/>
                <w:snapToGrid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-60960</wp:posOffset>
                      </wp:positionH>
                      <wp:positionV relativeFrom="paragraph">
                        <wp:posOffset>47625</wp:posOffset>
                      </wp:positionV>
                      <wp:extent cx="2061210" cy="508000"/>
                      <wp:effectExtent l="13970" t="10160" r="10795" b="5715"/>
                      <wp:wrapNone/>
                      <wp:docPr id="2" name="直接箭头连接符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061210" cy="5080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直接箭头连接符 2" o:spid="_x0000_s1026" type="#_x0000_t32" style="position:absolute;left:0;text-align:left;margin-left:-4.8pt;margin-top:3.75pt;width:162.3pt;height:4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"/>
                  </w:pict>
                </mc:Fallback>
              </mc:AlternateContent>
            </w:r>
            <w:r w:rsidRPr="00E677A7">
              <w:rPr>
                <w:rFonts w:eastAsia="仿宋_GB2312" w:hint="eastAsia"/>
                <w:snapToGrid/>
                <w:sz w:val="24"/>
                <w:szCs w:val="24"/>
              </w:rPr>
              <w:t>比例</w:t>
            </w:r>
          </w:p>
          <w:p w:rsidR="00E96395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Chars="460" w:firstLine="1104"/>
              <w:jc w:val="left"/>
              <w:rPr>
                <w:rFonts w:eastAsia="仿宋_GB2312" w:hint="eastAsia"/>
                <w:sz w:val="24"/>
                <w:szCs w:val="24"/>
              </w:rPr>
            </w:pPr>
          </w:p>
          <w:p w:rsidR="00E96395" w:rsidRPr="00E677A7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noProof/>
                <w:snapToGrid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-60960</wp:posOffset>
                      </wp:positionH>
                      <wp:positionV relativeFrom="paragraph">
                        <wp:posOffset>13335</wp:posOffset>
                      </wp:positionV>
                      <wp:extent cx="17145" cy="0"/>
                      <wp:effectExtent l="13970" t="10160" r="6985" b="8890"/>
                      <wp:wrapNone/>
                      <wp:docPr id="1" name="直接箭头连接符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71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直接箭头连接符 1" o:spid="_x0000_s1026" type="#_x0000_t32" style="position:absolute;left:0;text-align:left;margin-left:-4.8pt;margin-top:1.05pt;width:1.35pt;height:0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"/>
                  </w:pict>
                </mc:Fallback>
              </mc:AlternateContent>
            </w:r>
            <w:r w:rsidRPr="00E677A7">
              <w:rPr>
                <w:rFonts w:eastAsia="仿宋_GB2312" w:hint="eastAsia"/>
                <w:sz w:val="24"/>
                <w:szCs w:val="24"/>
              </w:rPr>
              <w:t>类别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/>
                <w:snapToGrid/>
                <w:sz w:val="24"/>
                <w:szCs w:val="24"/>
              </w:rPr>
              <w:t>高峰</w:t>
            </w: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时段</w:t>
            </w:r>
          </w:p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/>
                <w:snapToGrid/>
                <w:sz w:val="24"/>
                <w:szCs w:val="24"/>
              </w:rPr>
              <w:t>上浮比例</w:t>
            </w:r>
          </w:p>
        </w:tc>
        <w:tc>
          <w:tcPr>
            <w:tcW w:w="2268" w:type="dxa"/>
            <w:vAlign w:val="center"/>
          </w:tcPr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平期时段</w:t>
            </w:r>
          </w:p>
        </w:tc>
        <w:tc>
          <w:tcPr>
            <w:tcW w:w="1468" w:type="dxa"/>
            <w:shd w:val="clear" w:color="auto" w:fill="auto"/>
            <w:vAlign w:val="center"/>
            <w:hideMark/>
          </w:tcPr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/>
                <w:snapToGrid/>
                <w:sz w:val="24"/>
                <w:szCs w:val="24"/>
              </w:rPr>
              <w:t>低谷</w:t>
            </w: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时段</w:t>
            </w:r>
          </w:p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/>
                <w:snapToGrid/>
                <w:sz w:val="24"/>
                <w:szCs w:val="24"/>
              </w:rPr>
              <w:t>下浮比例</w:t>
            </w:r>
          </w:p>
        </w:tc>
      </w:tr>
      <w:tr w:rsidR="00E96395" w:rsidRPr="00073B81" w:rsidTr="00260F4A">
        <w:trPr>
          <w:trHeight w:val="465"/>
        </w:trPr>
        <w:tc>
          <w:tcPr>
            <w:tcW w:w="3266" w:type="dxa"/>
            <w:shd w:val="clear" w:color="auto" w:fill="auto"/>
            <w:vAlign w:val="center"/>
            <w:hideMark/>
          </w:tcPr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/>
                <w:snapToGrid/>
                <w:sz w:val="24"/>
                <w:szCs w:val="24"/>
              </w:rPr>
              <w:t>大工业用电</w:t>
            </w:r>
          </w:p>
        </w:tc>
        <w:tc>
          <w:tcPr>
            <w:tcW w:w="1417" w:type="dxa"/>
            <w:shd w:val="clear" w:color="000000" w:fill="FFFFFF"/>
            <w:noWrap/>
            <w:vAlign w:val="center"/>
            <w:hideMark/>
          </w:tcPr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71.96</w:t>
            </w:r>
            <w:r w:rsidRPr="00073B81">
              <w:rPr>
                <w:rFonts w:eastAsia="仿宋_GB2312"/>
                <w:snapToGrid/>
                <w:sz w:val="24"/>
                <w:szCs w:val="24"/>
              </w:rPr>
              <w:t>%</w:t>
            </w:r>
          </w:p>
        </w:tc>
        <w:tc>
          <w:tcPr>
            <w:tcW w:w="2268" w:type="dxa"/>
            <w:shd w:val="clear" w:color="000000" w:fill="FFFFFF"/>
          </w:tcPr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市场交易购电价格（或</w:t>
            </w:r>
            <w:r w:rsidRPr="008462A3">
              <w:rPr>
                <w:rFonts w:eastAsia="仿宋_GB2312" w:hint="eastAsia"/>
                <w:snapToGrid/>
                <w:sz w:val="24"/>
                <w:szCs w:val="24"/>
              </w:rPr>
              <w:t>电网企业代理购电平均上网电价</w:t>
            </w: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）</w:t>
            </w:r>
          </w:p>
        </w:tc>
        <w:tc>
          <w:tcPr>
            <w:tcW w:w="1468" w:type="dxa"/>
            <w:shd w:val="clear" w:color="000000" w:fill="FFFFFF"/>
            <w:noWrap/>
            <w:vAlign w:val="center"/>
            <w:hideMark/>
          </w:tcPr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58.15</w:t>
            </w:r>
            <w:r w:rsidRPr="00073B81">
              <w:rPr>
                <w:rFonts w:eastAsia="仿宋_GB2312"/>
                <w:snapToGrid/>
                <w:sz w:val="24"/>
                <w:szCs w:val="24"/>
              </w:rPr>
              <w:t>%</w:t>
            </w:r>
          </w:p>
        </w:tc>
      </w:tr>
      <w:tr w:rsidR="00E96395" w:rsidRPr="00073B81" w:rsidTr="00260F4A">
        <w:trPr>
          <w:trHeight w:val="678"/>
        </w:trPr>
        <w:tc>
          <w:tcPr>
            <w:tcW w:w="3266" w:type="dxa"/>
            <w:shd w:val="clear" w:color="auto" w:fill="auto"/>
            <w:vAlign w:val="center"/>
            <w:hideMark/>
          </w:tcPr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 w:hint="eastAsia"/>
                <w:snapToGrid/>
                <w:sz w:val="24"/>
                <w:szCs w:val="24"/>
              </w:rPr>
            </w:pPr>
            <w:r w:rsidRPr="00073B81">
              <w:rPr>
                <w:rFonts w:eastAsia="仿宋_GB2312"/>
                <w:snapToGrid/>
                <w:sz w:val="24"/>
                <w:szCs w:val="24"/>
              </w:rPr>
              <w:t>100</w:t>
            </w:r>
            <w:r w:rsidRPr="00073B81">
              <w:rPr>
                <w:rFonts w:eastAsia="仿宋_GB2312"/>
                <w:snapToGrid/>
                <w:sz w:val="24"/>
                <w:szCs w:val="24"/>
              </w:rPr>
              <w:t>千伏安</w:t>
            </w: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（</w:t>
            </w:r>
            <w:r w:rsidRPr="00073B81">
              <w:rPr>
                <w:rFonts w:eastAsia="仿宋_GB2312"/>
                <w:snapToGrid/>
                <w:sz w:val="24"/>
                <w:szCs w:val="24"/>
              </w:rPr>
              <w:t>千瓦</w:t>
            </w: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）</w:t>
            </w:r>
            <w:r w:rsidRPr="00073B81">
              <w:rPr>
                <w:rFonts w:eastAsia="仿宋_GB2312"/>
                <w:snapToGrid/>
                <w:sz w:val="24"/>
                <w:szCs w:val="24"/>
              </w:rPr>
              <w:t>及以上</w:t>
            </w:r>
          </w:p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/>
                <w:snapToGrid/>
                <w:sz w:val="24"/>
                <w:szCs w:val="24"/>
              </w:rPr>
              <w:t>普通工业用电</w:t>
            </w:r>
          </w:p>
        </w:tc>
        <w:tc>
          <w:tcPr>
            <w:tcW w:w="1417" w:type="dxa"/>
            <w:shd w:val="clear" w:color="000000" w:fill="FFFFFF"/>
            <w:noWrap/>
            <w:vAlign w:val="center"/>
            <w:hideMark/>
          </w:tcPr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67.19</w:t>
            </w:r>
            <w:r w:rsidRPr="00073B81">
              <w:rPr>
                <w:rFonts w:eastAsia="仿宋_GB2312"/>
                <w:snapToGrid/>
                <w:sz w:val="24"/>
                <w:szCs w:val="24"/>
              </w:rPr>
              <w:t>%</w:t>
            </w:r>
          </w:p>
        </w:tc>
        <w:tc>
          <w:tcPr>
            <w:tcW w:w="2268" w:type="dxa"/>
            <w:shd w:val="clear" w:color="000000" w:fill="FFFFFF"/>
          </w:tcPr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市场交易购电价格（或</w:t>
            </w:r>
            <w:r w:rsidRPr="008462A3">
              <w:rPr>
                <w:rFonts w:eastAsia="仿宋_GB2312" w:hint="eastAsia"/>
                <w:snapToGrid/>
                <w:sz w:val="24"/>
                <w:szCs w:val="24"/>
              </w:rPr>
              <w:t>电网企业代理购电平均上网电价</w:t>
            </w: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）</w:t>
            </w:r>
          </w:p>
        </w:tc>
        <w:tc>
          <w:tcPr>
            <w:tcW w:w="1468" w:type="dxa"/>
            <w:shd w:val="clear" w:color="000000" w:fill="FFFFFF"/>
            <w:noWrap/>
            <w:vAlign w:val="center"/>
            <w:hideMark/>
          </w:tcPr>
          <w:p w:rsidR="00E96395" w:rsidRPr="00073B81" w:rsidRDefault="00E96395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4"/>
                <w:szCs w:val="24"/>
              </w:rPr>
            </w:pPr>
            <w:r w:rsidRPr="00073B81">
              <w:rPr>
                <w:rFonts w:eastAsia="仿宋_GB2312" w:hint="eastAsia"/>
                <w:snapToGrid/>
                <w:sz w:val="24"/>
                <w:szCs w:val="24"/>
              </w:rPr>
              <w:t>54.82</w:t>
            </w:r>
            <w:r w:rsidRPr="00073B81">
              <w:rPr>
                <w:rFonts w:eastAsia="仿宋_GB2312"/>
                <w:snapToGrid/>
                <w:sz w:val="24"/>
                <w:szCs w:val="24"/>
              </w:rPr>
              <w:t>%</w:t>
            </w:r>
          </w:p>
        </w:tc>
      </w:tr>
    </w:tbl>
    <w:p w:rsidR="00E96395" w:rsidRPr="00073B81" w:rsidRDefault="00E96395" w:rsidP="00E96395">
      <w:pPr>
        <w:autoSpaceDE/>
        <w:autoSpaceDN/>
        <w:snapToGrid/>
        <w:spacing w:line="240" w:lineRule="auto"/>
        <w:ind w:firstLine="0"/>
        <w:rPr>
          <w:rFonts w:eastAsia="宋体"/>
          <w:snapToGrid/>
          <w:kern w:val="2"/>
          <w:sz w:val="21"/>
          <w:szCs w:val="21"/>
        </w:rPr>
      </w:pPr>
      <w:r w:rsidRPr="00073B81">
        <w:rPr>
          <w:rFonts w:eastAsia="宋体" w:hAnsi="Calibri"/>
          <w:snapToGrid/>
          <w:kern w:val="2"/>
          <w:sz w:val="21"/>
          <w:szCs w:val="21"/>
        </w:rPr>
        <w:t>备注：</w:t>
      </w:r>
      <w:r w:rsidRPr="00073B81">
        <w:rPr>
          <w:rFonts w:eastAsia="宋体"/>
          <w:snapToGrid/>
          <w:kern w:val="2"/>
          <w:sz w:val="21"/>
          <w:szCs w:val="21"/>
        </w:rPr>
        <w:t>1.</w:t>
      </w:r>
      <w:r w:rsidRPr="00073B81">
        <w:rPr>
          <w:rFonts w:eastAsia="宋体"/>
          <w:snapToGrid/>
          <w:kern w:val="2"/>
          <w:sz w:val="21"/>
          <w:szCs w:val="21"/>
        </w:rPr>
        <w:t>本表自</w:t>
      </w:r>
      <w:r w:rsidRPr="00073B81">
        <w:rPr>
          <w:rFonts w:eastAsia="宋体"/>
          <w:snapToGrid/>
          <w:kern w:val="2"/>
          <w:sz w:val="21"/>
          <w:szCs w:val="21"/>
        </w:rPr>
        <w:t>2021</w:t>
      </w:r>
      <w:r w:rsidRPr="00073B81">
        <w:rPr>
          <w:rFonts w:eastAsia="宋体"/>
          <w:snapToGrid/>
          <w:kern w:val="2"/>
          <w:sz w:val="21"/>
          <w:szCs w:val="21"/>
        </w:rPr>
        <w:t>年</w:t>
      </w:r>
      <w:r w:rsidRPr="00073B81">
        <w:rPr>
          <w:rFonts w:eastAsia="宋体"/>
          <w:snapToGrid/>
          <w:kern w:val="2"/>
          <w:sz w:val="21"/>
          <w:szCs w:val="21"/>
        </w:rPr>
        <w:t>10</w:t>
      </w:r>
      <w:r w:rsidRPr="00073B81">
        <w:rPr>
          <w:rFonts w:eastAsia="宋体"/>
          <w:snapToGrid/>
          <w:kern w:val="2"/>
          <w:sz w:val="21"/>
          <w:szCs w:val="21"/>
        </w:rPr>
        <w:t>月</w:t>
      </w:r>
      <w:r w:rsidRPr="00073B81">
        <w:rPr>
          <w:rFonts w:eastAsia="宋体"/>
          <w:snapToGrid/>
          <w:kern w:val="2"/>
          <w:sz w:val="21"/>
          <w:szCs w:val="21"/>
        </w:rPr>
        <w:t>15</w:t>
      </w:r>
      <w:r w:rsidRPr="00073B81">
        <w:rPr>
          <w:rFonts w:eastAsia="宋体"/>
          <w:snapToGrid/>
          <w:kern w:val="2"/>
          <w:sz w:val="21"/>
          <w:szCs w:val="21"/>
        </w:rPr>
        <w:t>日起执行。</w:t>
      </w:r>
    </w:p>
    <w:p w:rsidR="00E96395" w:rsidRPr="00073B81" w:rsidRDefault="00E96395" w:rsidP="00E96395">
      <w:pPr>
        <w:autoSpaceDE/>
        <w:autoSpaceDN/>
        <w:snapToGrid/>
        <w:spacing w:line="240" w:lineRule="auto"/>
        <w:ind w:firstLineChars="297"/>
        <w:rPr>
          <w:rFonts w:eastAsia="宋体" w:hint="eastAsia"/>
          <w:snapToGrid/>
          <w:kern w:val="2"/>
          <w:sz w:val="21"/>
          <w:szCs w:val="21"/>
        </w:rPr>
      </w:pPr>
      <w:r w:rsidRPr="00073B81">
        <w:rPr>
          <w:rFonts w:eastAsia="宋体"/>
          <w:snapToGrid/>
          <w:kern w:val="2"/>
          <w:sz w:val="21"/>
          <w:szCs w:val="21"/>
        </w:rPr>
        <w:t>2.</w:t>
      </w:r>
      <w:r w:rsidRPr="00073B81">
        <w:rPr>
          <w:rFonts w:eastAsia="宋体" w:hint="eastAsia"/>
          <w:snapToGrid/>
          <w:kern w:val="2"/>
          <w:sz w:val="21"/>
          <w:szCs w:val="21"/>
        </w:rPr>
        <w:t>高峰、平期、低谷时段划分，按照我省分时电价政策明确的时段执行。</w:t>
      </w:r>
    </w:p>
    <w:p w:rsidR="00E96395" w:rsidRPr="00127B07" w:rsidRDefault="00E96395" w:rsidP="00E96395">
      <w:pPr>
        <w:autoSpaceDE/>
        <w:autoSpaceDN/>
        <w:snapToGrid/>
        <w:spacing w:line="240" w:lineRule="auto"/>
        <w:ind w:firstLineChars="295" w:firstLine="584"/>
        <w:rPr>
          <w:rFonts w:eastAsia="宋体" w:hint="eastAsia"/>
          <w:snapToGrid/>
          <w:spacing w:val="-6"/>
          <w:kern w:val="2"/>
          <w:sz w:val="21"/>
          <w:szCs w:val="21"/>
        </w:rPr>
      </w:pP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3.</w:t>
      </w: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高峰时段电价</w:t>
      </w: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=</w:t>
      </w: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市场交易购电价格（或电网企业代理购电平均上网电价）</w:t>
      </w:r>
      <w:r w:rsidRPr="00127B07">
        <w:rPr>
          <w:rFonts w:ascii="宋体" w:eastAsia="宋体" w:hAnsi="宋体" w:hint="eastAsia"/>
          <w:snapToGrid/>
          <w:spacing w:val="-6"/>
          <w:kern w:val="2"/>
          <w:sz w:val="21"/>
          <w:szCs w:val="21"/>
        </w:rPr>
        <w:t>╳</w:t>
      </w: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（</w:t>
      </w: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1+</w:t>
      </w: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上浮比例）</w:t>
      </w:r>
    </w:p>
    <w:p w:rsidR="00E96395" w:rsidRPr="00127B07" w:rsidRDefault="00E96395" w:rsidP="00E96395">
      <w:pPr>
        <w:autoSpaceDE/>
        <w:autoSpaceDN/>
        <w:snapToGrid/>
        <w:spacing w:line="240" w:lineRule="auto"/>
        <w:ind w:firstLineChars="297" w:firstLine="588"/>
        <w:rPr>
          <w:rFonts w:eastAsia="宋体" w:hint="eastAsia"/>
          <w:snapToGrid/>
          <w:spacing w:val="-6"/>
          <w:kern w:val="2"/>
          <w:sz w:val="21"/>
          <w:szCs w:val="21"/>
        </w:rPr>
      </w:pP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低谷时段电价</w:t>
      </w: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=</w:t>
      </w: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市场交易购电价格（或电网企业代理购电平均上网电价）</w:t>
      </w:r>
      <w:r w:rsidRPr="00127B07">
        <w:rPr>
          <w:rFonts w:ascii="宋体" w:eastAsia="宋体" w:hAnsi="宋体" w:hint="eastAsia"/>
          <w:snapToGrid/>
          <w:spacing w:val="-6"/>
          <w:kern w:val="2"/>
          <w:sz w:val="21"/>
          <w:szCs w:val="21"/>
        </w:rPr>
        <w:t>╳</w:t>
      </w: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（</w:t>
      </w: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1-</w:t>
      </w:r>
      <w:r w:rsidRPr="00127B07">
        <w:rPr>
          <w:rFonts w:eastAsia="宋体" w:hint="eastAsia"/>
          <w:snapToGrid/>
          <w:spacing w:val="-6"/>
          <w:kern w:val="2"/>
          <w:sz w:val="21"/>
          <w:szCs w:val="21"/>
        </w:rPr>
        <w:t>下浮比例）</w:t>
      </w:r>
    </w:p>
    <w:p w:rsidR="00E96395" w:rsidRPr="00073B81" w:rsidRDefault="00E96395" w:rsidP="00E96395">
      <w:pPr>
        <w:autoSpaceDE/>
        <w:autoSpaceDN/>
        <w:snapToGrid/>
        <w:spacing w:line="240" w:lineRule="auto"/>
        <w:ind w:leftChars="196" w:left="627" w:firstLine="0"/>
        <w:rPr>
          <w:rFonts w:eastAsia="宋体"/>
          <w:snapToGrid/>
          <w:kern w:val="2"/>
          <w:sz w:val="21"/>
          <w:szCs w:val="21"/>
        </w:rPr>
      </w:pPr>
      <w:r w:rsidRPr="00073B81">
        <w:rPr>
          <w:rFonts w:eastAsia="宋体" w:hint="eastAsia"/>
          <w:snapToGrid/>
          <w:kern w:val="2"/>
          <w:sz w:val="21"/>
          <w:szCs w:val="21"/>
        </w:rPr>
        <w:t>4.</w:t>
      </w:r>
      <w:r w:rsidRPr="00073B81">
        <w:rPr>
          <w:rFonts w:eastAsia="宋体" w:hint="eastAsia"/>
          <w:snapToGrid/>
          <w:kern w:val="2"/>
          <w:sz w:val="21"/>
          <w:szCs w:val="21"/>
        </w:rPr>
        <w:t>一般工商业及其它类别的电热锅炉（</w:t>
      </w:r>
      <w:proofErr w:type="gramStart"/>
      <w:r w:rsidRPr="00073B81">
        <w:rPr>
          <w:rFonts w:eastAsia="宋体" w:hint="eastAsia"/>
          <w:snapToGrid/>
          <w:kern w:val="2"/>
          <w:sz w:val="21"/>
          <w:szCs w:val="21"/>
        </w:rPr>
        <w:t>蓄冰制冷</w:t>
      </w:r>
      <w:proofErr w:type="gramEnd"/>
      <w:r w:rsidRPr="00073B81">
        <w:rPr>
          <w:rFonts w:eastAsia="宋体" w:hint="eastAsia"/>
          <w:snapToGrid/>
          <w:kern w:val="2"/>
          <w:sz w:val="21"/>
          <w:szCs w:val="21"/>
        </w:rPr>
        <w:t>）用电两段式电价，平期电价按照市场交易购电价格（或</w:t>
      </w:r>
      <w:r w:rsidRPr="008462A3">
        <w:rPr>
          <w:rFonts w:eastAsia="宋体" w:hint="eastAsia"/>
          <w:snapToGrid/>
          <w:kern w:val="2"/>
          <w:sz w:val="21"/>
          <w:szCs w:val="21"/>
        </w:rPr>
        <w:t>电网企业代理购电平均上网电价</w:t>
      </w:r>
      <w:r w:rsidRPr="00073B81">
        <w:rPr>
          <w:rFonts w:eastAsia="宋体" w:hint="eastAsia"/>
          <w:snapToGrid/>
          <w:kern w:val="2"/>
          <w:sz w:val="21"/>
          <w:szCs w:val="21"/>
        </w:rPr>
        <w:t>）执行，谷期（</w:t>
      </w:r>
      <w:r w:rsidRPr="00073B81">
        <w:rPr>
          <w:rFonts w:eastAsia="宋体" w:hint="eastAsia"/>
          <w:snapToGrid/>
          <w:kern w:val="2"/>
          <w:sz w:val="21"/>
          <w:szCs w:val="21"/>
        </w:rPr>
        <w:t>0:00-8:00</w:t>
      </w:r>
      <w:r w:rsidRPr="00073B81">
        <w:rPr>
          <w:rFonts w:eastAsia="宋体" w:hint="eastAsia"/>
          <w:snapToGrid/>
          <w:kern w:val="2"/>
          <w:sz w:val="21"/>
          <w:szCs w:val="21"/>
        </w:rPr>
        <w:t>）电价按照</w:t>
      </w:r>
      <w:r w:rsidRPr="00073B81">
        <w:rPr>
          <w:rFonts w:eastAsia="宋体" w:hint="eastAsia"/>
          <w:snapToGrid/>
          <w:kern w:val="2"/>
          <w:sz w:val="21"/>
          <w:szCs w:val="21"/>
        </w:rPr>
        <w:t>100</w:t>
      </w:r>
      <w:r w:rsidRPr="00073B81">
        <w:rPr>
          <w:rFonts w:eastAsia="宋体" w:hint="eastAsia"/>
          <w:snapToGrid/>
          <w:kern w:val="2"/>
          <w:sz w:val="21"/>
          <w:szCs w:val="21"/>
        </w:rPr>
        <w:t>千伏安（千瓦）及以上普通工业用电低谷时段下浮比例进行计算执行。</w:t>
      </w:r>
    </w:p>
    <w:p w:rsidR="001D03CE" w:rsidRPr="00E96395" w:rsidRDefault="00E96395" w:rsidP="00E96395">
      <w:pPr>
        <w:autoSpaceDE/>
        <w:autoSpaceDN/>
        <w:snapToGrid/>
        <w:spacing w:line="240" w:lineRule="auto"/>
        <w:rPr>
          <w:rFonts w:eastAsia="宋体"/>
          <w:snapToGrid/>
          <w:kern w:val="2"/>
          <w:sz w:val="21"/>
          <w:szCs w:val="21"/>
        </w:rPr>
      </w:pPr>
      <w:r w:rsidRPr="00935045">
        <w:rPr>
          <w:rFonts w:eastAsia="宋体" w:hint="eastAsia"/>
          <w:snapToGrid/>
          <w:kern w:val="2"/>
          <w:sz w:val="21"/>
          <w:szCs w:val="21"/>
        </w:rPr>
        <w:t>5.</w:t>
      </w:r>
      <w:r w:rsidRPr="00935045">
        <w:rPr>
          <w:rFonts w:eastAsia="宋体"/>
          <w:snapToGrid/>
          <w:kern w:val="2"/>
          <w:sz w:val="21"/>
          <w:szCs w:val="21"/>
        </w:rPr>
        <w:t>季节性尖峰电价按照我省季节性尖峰电价相关实施文件执行。</w:t>
      </w:r>
    </w:p>
    <w:sectPr w:rsidR="001D03CE" w:rsidRPr="00E963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395"/>
    <w:rsid w:val="001D03CE"/>
    <w:rsid w:val="00E96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6395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6395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395</Characters>
  <Application>Microsoft Office Word</Application>
  <DocSecurity>0</DocSecurity>
  <Lines>3</Lines>
  <Paragraphs>1</Paragraphs>
  <ScaleCrop>false</ScaleCrop>
  <Company/>
  <LinksUpToDate>false</LinksUpToDate>
  <CharactersWithSpaces>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卢吉</dc:creator>
  <cp:lastModifiedBy>卢吉</cp:lastModifiedBy>
  <cp:revision>1</cp:revision>
  <dcterms:created xsi:type="dcterms:W3CDTF">2021-10-25T08:39:00Z</dcterms:created>
  <dcterms:modified xsi:type="dcterms:W3CDTF">2021-10-25T08:39:00Z</dcterms:modified>
</cp:coreProperties>
</file>