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center"/>
        <w:rPr>
          <w:rFonts w:eastAsia="黑体"/>
          <w:sz w:val="32"/>
          <w:szCs w:val="32"/>
        </w:rPr>
      </w:pPr>
      <w:r>
        <w:rPr>
          <w:rFonts w:hint="eastAsia" w:eastAsia="黑体"/>
          <w:sz w:val="32"/>
          <w:szCs w:val="32"/>
        </w:rPr>
        <w:t>2020年度江苏省科学技术奖申报项目</w:t>
      </w:r>
    </w:p>
    <w:p>
      <w:pPr>
        <w:spacing w:line="590" w:lineRule="exact"/>
        <w:jc w:val="center"/>
        <w:rPr>
          <w:rFonts w:eastAsia="黑体"/>
          <w:sz w:val="32"/>
          <w:szCs w:val="32"/>
        </w:rPr>
      </w:pPr>
      <w:r>
        <w:rPr>
          <w:rFonts w:hint="eastAsia" w:eastAsia="黑体"/>
          <w:sz w:val="32"/>
          <w:szCs w:val="32"/>
        </w:rPr>
        <w:t>公示信息</w:t>
      </w:r>
    </w:p>
    <w:p>
      <w:pPr>
        <w:pStyle w:val="7"/>
        <w:numPr>
          <w:ilvl w:val="0"/>
          <w:numId w:val="1"/>
        </w:numPr>
        <w:spacing w:line="590" w:lineRule="exact"/>
        <w:ind w:firstLineChars="0"/>
        <w:rPr>
          <w:rFonts w:ascii="方正仿宋_GBK" w:hAnsi="方正仿宋_GBK" w:eastAsia="方正仿宋_GBK" w:cs="方正仿宋_GBK"/>
          <w:sz w:val="24"/>
          <w:szCs w:val="24"/>
        </w:rPr>
      </w:pPr>
      <w:r>
        <w:rPr>
          <w:rFonts w:hint="eastAsia" w:ascii="方正仿宋_GBK" w:hAnsi="方正仿宋_GBK" w:eastAsia="方正仿宋_GBK" w:cs="方正仿宋_GBK"/>
          <w:b/>
          <w:bCs/>
          <w:sz w:val="24"/>
          <w:szCs w:val="24"/>
        </w:rPr>
        <w:t>项目名称</w:t>
      </w:r>
      <w:r>
        <w:rPr>
          <w:rFonts w:hint="eastAsia" w:ascii="方正仿宋_GBK" w:hAnsi="方正仿宋_GBK" w:eastAsia="方正仿宋_GBK" w:cs="方正仿宋_GBK"/>
          <w:sz w:val="24"/>
          <w:szCs w:val="24"/>
        </w:rPr>
        <w:t>：</w:t>
      </w:r>
    </w:p>
    <w:p>
      <w:pPr>
        <w:spacing w:line="590" w:lineRule="exact"/>
        <w:ind w:firstLine="480" w:firstLineChars="200"/>
        <w:rPr>
          <w:rFonts w:hint="eastAsia" w:ascii="方正仿宋_GBK" w:hAnsi="方正仿宋_GBK" w:eastAsia="方正仿宋_GBK" w:cs="方正仿宋_GBK"/>
          <w:sz w:val="24"/>
          <w:szCs w:val="24"/>
          <w:highlight w:val="none"/>
        </w:rPr>
      </w:pPr>
      <w:r>
        <w:rPr>
          <w:rFonts w:hint="eastAsia" w:ascii="方正仿宋_GBK" w:hAnsi="方正仿宋_GBK" w:eastAsia="方正仿宋_GBK" w:cs="方正仿宋_GBK"/>
          <w:sz w:val="24"/>
          <w:szCs w:val="24"/>
          <w:highlight w:val="none"/>
        </w:rPr>
        <w:t>规模化储能关键技术及工程应用</w:t>
      </w:r>
    </w:p>
    <w:p>
      <w:pPr>
        <w:spacing w:line="590" w:lineRule="exact"/>
        <w:ind w:firstLine="482" w:firstLineChars="200"/>
        <w:rPr>
          <w:rFonts w:ascii="方正仿宋_GBK" w:hAnsi="方正仿宋_GBK" w:eastAsia="方正仿宋_GBK" w:cs="方正仿宋_GBK"/>
          <w:b/>
          <w:bCs/>
          <w:sz w:val="24"/>
          <w:szCs w:val="24"/>
        </w:rPr>
      </w:pPr>
      <w:r>
        <w:rPr>
          <w:rFonts w:hint="eastAsia" w:ascii="方正仿宋_GBK" w:hAnsi="方正仿宋_GBK" w:eastAsia="方正仿宋_GBK" w:cs="方正仿宋_GBK"/>
          <w:b/>
          <w:bCs/>
          <w:sz w:val="24"/>
          <w:szCs w:val="24"/>
        </w:rPr>
        <w:t>（2）主要知识产权和标准规范目录</w:t>
      </w:r>
    </w:p>
    <w:tbl>
      <w:tblPr>
        <w:tblStyle w:val="5"/>
        <w:tblW w:w="0" w:type="auto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8"/>
        <w:gridCol w:w="1195"/>
        <w:gridCol w:w="641"/>
        <w:gridCol w:w="918"/>
        <w:gridCol w:w="709"/>
        <w:gridCol w:w="736"/>
        <w:gridCol w:w="1532"/>
        <w:gridCol w:w="1279"/>
        <w:gridCol w:w="638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tblHeader/>
          <w:jc w:val="center"/>
        </w:trPr>
        <w:tc>
          <w:tcPr>
            <w:tcW w:w="63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Cs w:val="21"/>
                <w:highlight w:val="none"/>
              </w:rPr>
            </w:pPr>
            <w:r>
              <w:rPr>
                <w:b/>
                <w:bCs/>
                <w:szCs w:val="21"/>
                <w:highlight w:val="none"/>
              </w:rPr>
              <w:t>知识产权（标准）</w:t>
            </w:r>
          </w:p>
          <w:p>
            <w:pPr>
              <w:jc w:val="center"/>
              <w:rPr>
                <w:b/>
                <w:bCs/>
                <w:szCs w:val="21"/>
                <w:highlight w:val="none"/>
              </w:rPr>
            </w:pPr>
            <w:r>
              <w:rPr>
                <w:b/>
                <w:bCs/>
                <w:szCs w:val="21"/>
                <w:highlight w:val="none"/>
              </w:rPr>
              <w:t>类别</w:t>
            </w:r>
          </w:p>
        </w:tc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Cs w:val="21"/>
                <w:highlight w:val="none"/>
              </w:rPr>
            </w:pPr>
            <w:r>
              <w:rPr>
                <w:b/>
                <w:bCs/>
                <w:szCs w:val="21"/>
                <w:highlight w:val="none"/>
              </w:rPr>
              <w:t>知识产权（标准）具体名称</w:t>
            </w:r>
          </w:p>
        </w:tc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Cs w:val="21"/>
                <w:highlight w:val="none"/>
              </w:rPr>
            </w:pPr>
            <w:r>
              <w:rPr>
                <w:b/>
                <w:bCs/>
                <w:szCs w:val="21"/>
                <w:highlight w:val="none"/>
              </w:rPr>
              <w:t>国家</w:t>
            </w:r>
          </w:p>
          <w:p>
            <w:pPr>
              <w:jc w:val="center"/>
              <w:rPr>
                <w:b/>
                <w:bCs/>
                <w:szCs w:val="21"/>
                <w:highlight w:val="none"/>
              </w:rPr>
            </w:pPr>
            <w:r>
              <w:rPr>
                <w:b/>
                <w:bCs/>
                <w:szCs w:val="21"/>
                <w:highlight w:val="none"/>
              </w:rPr>
              <w:t>（</w:t>
            </w:r>
            <w:r>
              <w:rPr>
                <w:rFonts w:hint="eastAsia"/>
                <w:b/>
                <w:bCs/>
                <w:szCs w:val="21"/>
                <w:highlight w:val="none"/>
              </w:rPr>
              <w:t>地</w:t>
            </w:r>
            <w:r>
              <w:rPr>
                <w:b/>
                <w:bCs/>
                <w:szCs w:val="21"/>
                <w:highlight w:val="none"/>
              </w:rPr>
              <w:t>区）</w:t>
            </w:r>
          </w:p>
        </w:tc>
        <w:tc>
          <w:tcPr>
            <w:tcW w:w="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Cs w:val="21"/>
                <w:highlight w:val="none"/>
              </w:rPr>
            </w:pPr>
            <w:r>
              <w:rPr>
                <w:b/>
                <w:bCs/>
                <w:szCs w:val="21"/>
                <w:highlight w:val="none"/>
              </w:rPr>
              <w:t>授权号</w:t>
            </w:r>
          </w:p>
          <w:p>
            <w:pPr>
              <w:jc w:val="center"/>
              <w:rPr>
                <w:b/>
                <w:bCs/>
                <w:szCs w:val="21"/>
                <w:highlight w:val="none"/>
              </w:rPr>
            </w:pPr>
            <w:r>
              <w:rPr>
                <w:b/>
                <w:bCs/>
                <w:szCs w:val="21"/>
                <w:highlight w:val="none"/>
              </w:rPr>
              <w:t>（标准编号）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Cs w:val="21"/>
                <w:highlight w:val="none"/>
              </w:rPr>
            </w:pPr>
            <w:r>
              <w:rPr>
                <w:b/>
                <w:bCs/>
                <w:szCs w:val="21"/>
                <w:highlight w:val="none"/>
              </w:rPr>
              <w:t>授权（标准发布）日期</w:t>
            </w:r>
          </w:p>
        </w:tc>
        <w:tc>
          <w:tcPr>
            <w:tcW w:w="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Cs w:val="21"/>
                <w:highlight w:val="none"/>
              </w:rPr>
            </w:pPr>
            <w:r>
              <w:rPr>
                <w:b/>
                <w:bCs/>
                <w:szCs w:val="21"/>
                <w:highlight w:val="none"/>
              </w:rPr>
              <w:t>证书编号</w:t>
            </w:r>
            <w:r>
              <w:rPr>
                <w:b/>
                <w:bCs/>
                <w:szCs w:val="21"/>
                <w:highlight w:val="none"/>
              </w:rPr>
              <w:br w:type="textWrapping"/>
            </w:r>
            <w:r>
              <w:rPr>
                <w:b/>
                <w:bCs/>
                <w:szCs w:val="21"/>
                <w:highlight w:val="none"/>
              </w:rPr>
              <w:t>（标准批准发布部门）</w:t>
            </w:r>
          </w:p>
        </w:tc>
        <w:tc>
          <w:tcPr>
            <w:tcW w:w="1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Cs w:val="21"/>
                <w:highlight w:val="none"/>
              </w:rPr>
            </w:pPr>
            <w:r>
              <w:rPr>
                <w:b/>
                <w:bCs/>
                <w:szCs w:val="21"/>
                <w:highlight w:val="none"/>
              </w:rPr>
              <w:t>权利人</w:t>
            </w:r>
          </w:p>
          <w:p>
            <w:pPr>
              <w:jc w:val="center"/>
              <w:rPr>
                <w:b/>
                <w:bCs/>
                <w:szCs w:val="21"/>
                <w:highlight w:val="none"/>
              </w:rPr>
            </w:pPr>
            <w:r>
              <w:rPr>
                <w:b/>
                <w:bCs/>
                <w:szCs w:val="21"/>
                <w:highlight w:val="none"/>
              </w:rPr>
              <w:t>（标准起草单位）</w:t>
            </w:r>
          </w:p>
        </w:tc>
        <w:tc>
          <w:tcPr>
            <w:tcW w:w="1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Cs w:val="21"/>
                <w:highlight w:val="none"/>
              </w:rPr>
            </w:pPr>
            <w:r>
              <w:rPr>
                <w:b/>
                <w:bCs/>
                <w:szCs w:val="21"/>
                <w:highlight w:val="none"/>
              </w:rPr>
              <w:t>发明人（标准起草人）</w:t>
            </w:r>
          </w:p>
        </w:tc>
        <w:tc>
          <w:tcPr>
            <w:tcW w:w="6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b/>
                <w:bCs/>
                <w:szCs w:val="21"/>
                <w:highlight w:val="none"/>
              </w:rPr>
            </w:pPr>
            <w:r>
              <w:rPr>
                <w:rFonts w:hint="eastAsia"/>
                <w:b/>
                <w:bCs/>
                <w:szCs w:val="21"/>
                <w:highlight w:val="none"/>
              </w:rPr>
              <w:t>发明专利（标准）有效状态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63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发明专利</w:t>
            </w:r>
          </w:p>
        </w:tc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一种用于平滑并网风光发电系统输出波动的储能配置方法</w:t>
            </w:r>
          </w:p>
        </w:tc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中国</w:t>
            </w:r>
          </w:p>
        </w:tc>
        <w:tc>
          <w:tcPr>
            <w:tcW w:w="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ZL201310435030.0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default" w:cstheme="minorBidi"/>
                <w:szCs w:val="21"/>
                <w:highlight w:val="none"/>
                <w:lang w:val="en-US" w:eastAsia="zh-CN"/>
              </w:rPr>
              <w:t>2015年9月23日</w:t>
            </w:r>
          </w:p>
        </w:tc>
        <w:tc>
          <w:tcPr>
            <w:tcW w:w="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1795217</w:t>
            </w:r>
          </w:p>
        </w:tc>
        <w:tc>
          <w:tcPr>
            <w:tcW w:w="1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国家电网公司、中国电力科学研究院，国网福建省电力有限公司、国网福建省电力有限公司电力科学研究院</w:t>
            </w:r>
          </w:p>
        </w:tc>
        <w:tc>
          <w:tcPr>
            <w:tcW w:w="1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桑丙玉、王德顺、杨波、陈彬、郑高、吴福保、李官军、陶以彬、俞斌、胡金杭</w:t>
            </w:r>
          </w:p>
        </w:tc>
        <w:tc>
          <w:tcPr>
            <w:tcW w:w="6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有效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63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发明专利</w:t>
            </w:r>
          </w:p>
        </w:tc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一种配网削峰填谷的分布式储能功率分配和协调控制方法</w:t>
            </w:r>
          </w:p>
        </w:tc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中国</w:t>
            </w:r>
          </w:p>
        </w:tc>
        <w:tc>
          <w:tcPr>
            <w:tcW w:w="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300" w:lineRule="exact"/>
              <w:ind w:firstLine="0" w:firstLineChars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eastAsia="宋体"/>
                <w:sz w:val="21"/>
                <w:szCs w:val="21"/>
              </w:rPr>
              <w:t>ZL201410407305.4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300" w:lineRule="exact"/>
              <w:ind w:firstLine="0" w:firstLineChars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eastAsia="宋体"/>
                <w:sz w:val="21"/>
                <w:szCs w:val="21"/>
              </w:rPr>
              <w:t>2016年</w:t>
            </w:r>
            <w:r>
              <w:rPr>
                <w:rFonts w:hint="eastAsia" w:eastAsia="宋体"/>
                <w:sz w:val="21"/>
                <w:szCs w:val="21"/>
              </w:rPr>
              <w:t>8</w:t>
            </w:r>
            <w:r>
              <w:rPr>
                <w:rFonts w:eastAsia="宋体"/>
                <w:sz w:val="21"/>
                <w:szCs w:val="21"/>
              </w:rPr>
              <w:t>月2日</w:t>
            </w:r>
          </w:p>
        </w:tc>
        <w:tc>
          <w:tcPr>
            <w:tcW w:w="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300" w:lineRule="exact"/>
              <w:ind w:firstLine="0" w:firstLineChars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eastAsia="宋体"/>
                <w:sz w:val="21"/>
                <w:szCs w:val="21"/>
              </w:rPr>
              <w:t>2245053</w:t>
            </w:r>
          </w:p>
        </w:tc>
        <w:tc>
          <w:tcPr>
            <w:tcW w:w="1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300" w:lineRule="exact"/>
              <w:ind w:firstLine="0" w:firstLineChars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eastAsia="宋体"/>
                <w:sz w:val="21"/>
                <w:szCs w:val="21"/>
              </w:rPr>
              <w:t>国家电网公司、中国电力科学研究院、国网福建省电力有限公司、国网福建省电力有限公司电力科学研究院、国网上海市电力公司</w:t>
            </w:r>
          </w:p>
        </w:tc>
        <w:tc>
          <w:tcPr>
            <w:tcW w:w="1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300" w:lineRule="exact"/>
              <w:ind w:firstLine="0" w:firstLineChars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eastAsia="宋体"/>
                <w:sz w:val="21"/>
                <w:szCs w:val="21"/>
              </w:rPr>
              <w:t>桑丙玉、叶季蕾、杨波、陶琼、张宇、许晓慧、薛金花、汪春、朴红艳、刘舒</w:t>
            </w:r>
          </w:p>
        </w:tc>
        <w:tc>
          <w:tcPr>
            <w:tcW w:w="6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有效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63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发明专利</w:t>
            </w:r>
          </w:p>
        </w:tc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一种基于电池寿命的共享式电池的容量计算方法</w:t>
            </w:r>
          </w:p>
        </w:tc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中国</w:t>
            </w:r>
          </w:p>
        </w:tc>
        <w:tc>
          <w:tcPr>
            <w:tcW w:w="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ZL201710131632.5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2019年3月29日</w:t>
            </w:r>
          </w:p>
        </w:tc>
        <w:tc>
          <w:tcPr>
            <w:tcW w:w="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3311029</w:t>
            </w:r>
          </w:p>
        </w:tc>
        <w:tc>
          <w:tcPr>
            <w:tcW w:w="1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清华大学</w:t>
            </w:r>
          </w:p>
        </w:tc>
        <w:tc>
          <w:tcPr>
            <w:tcW w:w="1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刘静琨, 张宁, 康重庆, 夏清</w:t>
            </w:r>
          </w:p>
        </w:tc>
        <w:tc>
          <w:tcPr>
            <w:tcW w:w="6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有效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63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发明专利</w:t>
            </w:r>
          </w:p>
        </w:tc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一种电池组充放电均衡电路和充放电方法</w:t>
            </w:r>
          </w:p>
        </w:tc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中国</w:t>
            </w:r>
          </w:p>
        </w:tc>
        <w:tc>
          <w:tcPr>
            <w:tcW w:w="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ZL201510355371.6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default" w:cstheme="minorBidi"/>
                <w:szCs w:val="21"/>
                <w:highlight w:val="none"/>
                <w:lang w:val="en-US" w:eastAsia="zh-CN"/>
              </w:rPr>
              <w:t>2018年4月24日</w:t>
            </w:r>
          </w:p>
        </w:tc>
        <w:tc>
          <w:tcPr>
            <w:tcW w:w="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2899836</w:t>
            </w:r>
          </w:p>
        </w:tc>
        <w:tc>
          <w:tcPr>
            <w:tcW w:w="1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国家电网公司、许继集团有限公司、许继电源有限公司、国网山东省电力公司电力科学研究院</w:t>
            </w:r>
          </w:p>
        </w:tc>
        <w:tc>
          <w:tcPr>
            <w:tcW w:w="1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陈天锦、赵玲、曹智慧、陈世峰、韩海伦、高鹏、马瑞、胡丽明、王宁、刘秀华、高玉明、张华栋、任杰、袁弘</w:t>
            </w:r>
          </w:p>
        </w:tc>
        <w:tc>
          <w:tcPr>
            <w:tcW w:w="6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有效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63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发明专利</w:t>
            </w:r>
          </w:p>
        </w:tc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一种机柜防尘通风装置及使用该防尘通风装置的机柜</w:t>
            </w:r>
          </w:p>
        </w:tc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中国</w:t>
            </w:r>
          </w:p>
        </w:tc>
        <w:tc>
          <w:tcPr>
            <w:tcW w:w="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ZL201510625603.5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default" w:cstheme="minorBidi"/>
                <w:szCs w:val="21"/>
                <w:highlight w:val="none"/>
                <w:lang w:val="en-US" w:eastAsia="zh-CN"/>
              </w:rPr>
              <w:t>2018年5月29日</w:t>
            </w:r>
          </w:p>
        </w:tc>
        <w:tc>
          <w:tcPr>
            <w:tcW w:w="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2941951</w:t>
            </w:r>
          </w:p>
        </w:tc>
        <w:tc>
          <w:tcPr>
            <w:tcW w:w="1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许继电源有限公司 、许继电气股份有限公司、、许继集团有限公司 、国家电网公司</w:t>
            </w:r>
          </w:p>
        </w:tc>
        <w:tc>
          <w:tcPr>
            <w:tcW w:w="1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陈伟明、房相成、任彬红、刘鹏、杨江浩、刘增强、李正浩、张小广</w:t>
            </w:r>
          </w:p>
        </w:tc>
        <w:tc>
          <w:tcPr>
            <w:tcW w:w="6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有效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63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发明专利</w:t>
            </w:r>
          </w:p>
        </w:tc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一种混合型储能变流装置及其运行控制方法</w:t>
            </w:r>
          </w:p>
        </w:tc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中国</w:t>
            </w:r>
          </w:p>
        </w:tc>
        <w:tc>
          <w:tcPr>
            <w:tcW w:w="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ZL201310121430.4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default" w:cstheme="minorBidi"/>
                <w:szCs w:val="21"/>
                <w:highlight w:val="none"/>
                <w:lang w:val="en-US" w:eastAsia="zh-CN"/>
              </w:rPr>
              <w:t>2017年12月5日</w:t>
            </w:r>
          </w:p>
        </w:tc>
        <w:tc>
          <w:tcPr>
            <w:tcW w:w="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2725211</w:t>
            </w:r>
          </w:p>
        </w:tc>
        <w:tc>
          <w:tcPr>
            <w:tcW w:w="1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许继集团有限公司、许继电源有限公司、国家电网公司</w:t>
            </w:r>
          </w:p>
        </w:tc>
        <w:tc>
          <w:tcPr>
            <w:tcW w:w="1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陈常曦、曹智慧、陈世锋、张冲、王翼、胡丽明、柳劲松、时珊珊、张宇、陈斌、郑高</w:t>
            </w:r>
          </w:p>
        </w:tc>
        <w:tc>
          <w:tcPr>
            <w:tcW w:w="6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有效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63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发明专利</w:t>
            </w:r>
          </w:p>
        </w:tc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一种PCS系统和装置</w:t>
            </w:r>
          </w:p>
        </w:tc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中国</w:t>
            </w:r>
          </w:p>
        </w:tc>
        <w:tc>
          <w:tcPr>
            <w:tcW w:w="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ZL201410529944.8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default" w:cstheme="minorBidi"/>
                <w:szCs w:val="21"/>
                <w:highlight w:val="none"/>
                <w:lang w:val="en-US" w:eastAsia="zh-CN"/>
              </w:rPr>
              <w:t>2018年1月9日</w:t>
            </w:r>
          </w:p>
        </w:tc>
        <w:tc>
          <w:tcPr>
            <w:tcW w:w="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2771986</w:t>
            </w:r>
          </w:p>
        </w:tc>
        <w:tc>
          <w:tcPr>
            <w:tcW w:w="1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许继电气股份有限公司、许继电源有限公司</w:t>
            </w:r>
          </w:p>
        </w:tc>
        <w:tc>
          <w:tcPr>
            <w:tcW w:w="1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吕海超、曹智慧、万里强、陈常曦、赵玲</w:t>
            </w:r>
          </w:p>
        </w:tc>
        <w:tc>
          <w:tcPr>
            <w:tcW w:w="6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有效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63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发明专利</w:t>
            </w:r>
          </w:p>
        </w:tc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一种三相不平衡系统中储能变流器并联运行优化控制方法</w:t>
            </w:r>
          </w:p>
        </w:tc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中国</w:t>
            </w:r>
          </w:p>
        </w:tc>
        <w:tc>
          <w:tcPr>
            <w:tcW w:w="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ZL201410233949.6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default" w:cstheme="minorBidi"/>
                <w:szCs w:val="21"/>
                <w:highlight w:val="none"/>
                <w:lang w:val="en-US" w:eastAsia="zh-CN"/>
              </w:rPr>
              <w:t>2016年5月25日</w:t>
            </w:r>
          </w:p>
        </w:tc>
        <w:tc>
          <w:tcPr>
            <w:tcW w:w="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default" w:cstheme="minorBidi"/>
                <w:szCs w:val="21"/>
                <w:highlight w:val="none"/>
                <w:lang w:val="en-US" w:eastAsia="zh-CN"/>
              </w:rPr>
              <w:t>2088515</w:t>
            </w:r>
          </w:p>
        </w:tc>
        <w:tc>
          <w:tcPr>
            <w:tcW w:w="1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国家电网公司、中国电力科学研究院、江苏省电力公司</w:t>
            </w:r>
          </w:p>
        </w:tc>
        <w:tc>
          <w:tcPr>
            <w:tcW w:w="1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胡金杭、丁杰、吴福保、李官军、陶以彬、杨波、赫卫国、桑丙玉、冯鑫振、余豪杰、刘欢、鄢盛驰、俞斌、曹远志、周晨、朱红保、李跃龙、卢俊峰、吴涛、李海峰、罗建裕</w:t>
            </w:r>
          </w:p>
        </w:tc>
        <w:tc>
          <w:tcPr>
            <w:tcW w:w="6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有效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63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发明专利</w:t>
            </w:r>
          </w:p>
        </w:tc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一种储能电站的经济优化调度方法</w:t>
            </w:r>
          </w:p>
        </w:tc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中国</w:t>
            </w:r>
          </w:p>
        </w:tc>
        <w:tc>
          <w:tcPr>
            <w:tcW w:w="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ZL201210451859.5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default" w:cstheme="minorBidi"/>
                <w:szCs w:val="21"/>
                <w:highlight w:val="none"/>
                <w:lang w:val="en-US" w:eastAsia="zh-CN"/>
              </w:rPr>
              <w:t>2014年12月31日</w:t>
            </w:r>
          </w:p>
        </w:tc>
        <w:tc>
          <w:tcPr>
            <w:tcW w:w="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default" w:cstheme="minorBidi"/>
                <w:szCs w:val="21"/>
                <w:highlight w:val="none"/>
                <w:lang w:val="en-US" w:eastAsia="zh-CN"/>
              </w:rPr>
              <w:t>1555050</w:t>
            </w:r>
          </w:p>
        </w:tc>
        <w:tc>
          <w:tcPr>
            <w:tcW w:w="1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中国电力科学研究院、国家电网公司</w:t>
            </w:r>
          </w:p>
        </w:tc>
        <w:tc>
          <w:tcPr>
            <w:tcW w:w="1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叶季蕾、薛金花、吴福保、杨波</w:t>
            </w:r>
          </w:p>
        </w:tc>
        <w:tc>
          <w:tcPr>
            <w:tcW w:w="6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有效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63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发明专利</w:t>
            </w:r>
          </w:p>
        </w:tc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一种集中式储能电站的有功出力调度方法</w:t>
            </w:r>
          </w:p>
        </w:tc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中国</w:t>
            </w:r>
          </w:p>
        </w:tc>
        <w:tc>
          <w:tcPr>
            <w:tcW w:w="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ZL201510321479.3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default" w:cstheme="minorBidi"/>
                <w:szCs w:val="21"/>
                <w:highlight w:val="none"/>
                <w:lang w:val="en-US" w:eastAsia="zh-CN"/>
              </w:rPr>
              <w:t>2018年1月19日</w:t>
            </w:r>
          </w:p>
        </w:tc>
        <w:tc>
          <w:tcPr>
            <w:tcW w:w="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default" w:cstheme="minorBidi"/>
                <w:szCs w:val="21"/>
                <w:highlight w:val="none"/>
                <w:lang w:val="en-US" w:eastAsia="zh-CN"/>
              </w:rPr>
              <w:t>2784726</w:t>
            </w:r>
          </w:p>
        </w:tc>
        <w:tc>
          <w:tcPr>
            <w:tcW w:w="1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中国电力科学研究院、国家电网公司、国网江西省电力公司</w:t>
            </w:r>
          </w:p>
        </w:tc>
        <w:tc>
          <w:tcPr>
            <w:tcW w:w="1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薛金花、叶季蕾、陈梅、杨波、刘皓明、陶琼、许晓慧、汪春、桑丙玉、陆丹、夏俊荣、刘海璇、张祥文</w:t>
            </w:r>
          </w:p>
        </w:tc>
        <w:tc>
          <w:tcPr>
            <w:tcW w:w="6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有效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63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发明专利</w:t>
            </w:r>
          </w:p>
        </w:tc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一种含储能的新能源联合发电系统有功协调控制方法</w:t>
            </w:r>
          </w:p>
        </w:tc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中国</w:t>
            </w:r>
          </w:p>
        </w:tc>
        <w:tc>
          <w:tcPr>
            <w:tcW w:w="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ZL201510703059.1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default" w:cstheme="minorBidi"/>
                <w:szCs w:val="21"/>
                <w:highlight w:val="none"/>
                <w:lang w:val="en-US" w:eastAsia="zh-CN"/>
              </w:rPr>
              <w:t>2017年8月29日</w:t>
            </w:r>
          </w:p>
        </w:tc>
        <w:tc>
          <w:tcPr>
            <w:tcW w:w="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default" w:cstheme="minorBidi"/>
                <w:szCs w:val="21"/>
                <w:highlight w:val="none"/>
                <w:lang w:val="en-US" w:eastAsia="zh-CN"/>
              </w:rPr>
              <w:t>2600435</w:t>
            </w:r>
          </w:p>
        </w:tc>
        <w:tc>
          <w:tcPr>
            <w:tcW w:w="1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国电南瑞科技股份有限公司、国电南瑞南京控制系统有限公司</w:t>
            </w:r>
          </w:p>
        </w:tc>
        <w:tc>
          <w:tcPr>
            <w:tcW w:w="1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于昌海、吴继平、滕贤亮、丁恰、徐瑞</w:t>
            </w:r>
          </w:p>
        </w:tc>
        <w:tc>
          <w:tcPr>
            <w:tcW w:w="6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cstheme="minorBidi"/>
                <w:szCs w:val="21"/>
                <w:highlight w:val="none"/>
              </w:rPr>
              <w:t>有效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63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default" w:ascii="Times New Roman" w:hAnsi="Times New Roman" w:eastAsia="宋体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theme="minorBidi"/>
                <w:szCs w:val="21"/>
                <w:highlight w:val="none"/>
                <w:lang w:val="en-US" w:eastAsia="zh-CN"/>
              </w:rPr>
              <w:t>发明专利</w:t>
            </w:r>
          </w:p>
        </w:tc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Times New Roman" w:hAnsi="Times New Roman" w:eastAsia="宋体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theme="minorBidi"/>
                <w:szCs w:val="21"/>
                <w:highlight w:val="none"/>
                <w:lang w:val="en-US" w:eastAsia="zh-CN"/>
              </w:rPr>
              <w:t>一种用于户外设备舱的通风防尘舱</w:t>
            </w:r>
          </w:p>
        </w:tc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Times New Roman" w:hAnsi="Times New Roman" w:eastAsia="宋体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theme="minorBidi"/>
                <w:szCs w:val="21"/>
                <w:highlight w:val="none"/>
                <w:lang w:val="en-US" w:eastAsia="zh-CN"/>
              </w:rPr>
              <w:t>中国</w:t>
            </w:r>
          </w:p>
        </w:tc>
        <w:tc>
          <w:tcPr>
            <w:tcW w:w="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Times New Roman" w:hAnsi="Times New Roman" w:eastAsia="宋体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theme="minorBidi"/>
                <w:szCs w:val="21"/>
                <w:highlight w:val="none"/>
                <w:lang w:val="en-US" w:eastAsia="zh-CN"/>
              </w:rPr>
              <w:t>ZL201410584835.6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default" w:ascii="Times New Roman" w:hAnsi="Times New Roman" w:eastAsia="宋体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theme="minorBidi"/>
                <w:szCs w:val="21"/>
                <w:highlight w:val="none"/>
                <w:lang w:val="en-US" w:eastAsia="zh-CN"/>
              </w:rPr>
              <w:t>2016年10月12日</w:t>
            </w:r>
          </w:p>
        </w:tc>
        <w:tc>
          <w:tcPr>
            <w:tcW w:w="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default" w:ascii="Times New Roman" w:hAnsi="Times New Roman" w:eastAsia="宋体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2269094</w:t>
            </w:r>
          </w:p>
        </w:tc>
        <w:tc>
          <w:tcPr>
            <w:tcW w:w="1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Times New Roman" w:hAnsi="Times New Roman" w:eastAsia="宋体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theme="minorBidi"/>
                <w:szCs w:val="21"/>
                <w:highlight w:val="none"/>
                <w:lang w:val="en-US" w:eastAsia="zh-CN"/>
              </w:rPr>
              <w:t>中国能源建设集团江苏省电力设计院有限公司  、国电南京自动化股份有限公司  国家电网公司、国网新疆电力公司</w:t>
            </w:r>
          </w:p>
        </w:tc>
        <w:tc>
          <w:tcPr>
            <w:tcW w:w="1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Times New Roman" w:hAnsi="Times New Roman" w:eastAsia="宋体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theme="minorBidi"/>
                <w:szCs w:val="21"/>
                <w:highlight w:val="none"/>
                <w:lang w:val="en-US" w:eastAsia="zh-CN"/>
              </w:rPr>
              <w:t>苏麟、秦闯、车勇、朱东升、袁涤非、  王修江、 赵智成、 包安群、 单强、杨小乐、顾锦书</w:t>
            </w:r>
          </w:p>
        </w:tc>
        <w:tc>
          <w:tcPr>
            <w:tcW w:w="6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Times New Roman" w:hAnsi="Times New Roman" w:eastAsia="宋体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theme="minorBidi"/>
                <w:szCs w:val="21"/>
                <w:highlight w:val="none"/>
                <w:lang w:val="en-US" w:eastAsia="zh-CN"/>
              </w:rPr>
              <w:t>有效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63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default" w:ascii="Times New Roman" w:hAnsi="Times New Roman" w:eastAsia="宋体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theme="minorBidi"/>
                <w:szCs w:val="21"/>
                <w:highlight w:val="none"/>
                <w:lang w:val="en-US" w:eastAsia="zh-CN"/>
              </w:rPr>
              <w:t>发明专利</w:t>
            </w:r>
          </w:p>
        </w:tc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default" w:ascii="Times New Roman" w:hAnsi="Times New Roman" w:eastAsia="宋体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theme="minorBidi"/>
                <w:szCs w:val="21"/>
                <w:highlight w:val="none"/>
                <w:lang w:val="en-US" w:eastAsia="zh-CN"/>
              </w:rPr>
              <w:t>大电网设备过载在线灵敏度的智能联切方法</w:t>
            </w:r>
          </w:p>
        </w:tc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default" w:ascii="Times New Roman" w:hAnsi="Times New Roman" w:eastAsia="宋体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theme="minorBidi"/>
                <w:szCs w:val="21"/>
                <w:highlight w:val="none"/>
                <w:lang w:val="en-US" w:eastAsia="zh-CN"/>
              </w:rPr>
              <w:t>中国</w:t>
            </w:r>
          </w:p>
        </w:tc>
        <w:tc>
          <w:tcPr>
            <w:tcW w:w="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default" w:ascii="Times New Roman" w:hAnsi="Times New Roman" w:eastAsia="宋体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theme="minorBidi"/>
                <w:szCs w:val="21"/>
                <w:highlight w:val="none"/>
                <w:lang w:val="en-US" w:eastAsia="zh-CN"/>
              </w:rPr>
              <w:t>ZL200710135090.5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default" w:ascii="Times New Roman" w:hAnsi="Times New Roman" w:eastAsia="宋体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theme="minorBidi"/>
                <w:szCs w:val="21"/>
                <w:highlight w:val="none"/>
                <w:lang w:val="en-US" w:eastAsia="zh-CN"/>
              </w:rPr>
              <w:t>2007年11月8日</w:t>
            </w:r>
          </w:p>
        </w:tc>
        <w:tc>
          <w:tcPr>
            <w:tcW w:w="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default" w:ascii="Times New Roman" w:hAnsi="Times New Roman" w:eastAsia="宋体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theme="minorBidi"/>
                <w:szCs w:val="21"/>
                <w:highlight w:val="none"/>
                <w:lang w:val="en-US" w:eastAsia="zh-CN"/>
              </w:rPr>
              <w:t>585900</w:t>
            </w:r>
          </w:p>
        </w:tc>
        <w:tc>
          <w:tcPr>
            <w:tcW w:w="1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default" w:ascii="Times New Roman" w:hAnsi="Times New Roman" w:eastAsia="宋体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theme="minorBidi"/>
                <w:szCs w:val="21"/>
                <w:highlight w:val="none"/>
                <w:lang w:val="en-US" w:eastAsia="zh-CN"/>
              </w:rPr>
              <w:t>江苏省电力公司、国网南京自动化研究院</w:t>
            </w:r>
          </w:p>
        </w:tc>
        <w:tc>
          <w:tcPr>
            <w:tcW w:w="1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default" w:ascii="Times New Roman" w:hAnsi="Times New Roman" w:eastAsia="宋体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theme="minorBidi"/>
                <w:szCs w:val="21"/>
                <w:highlight w:val="none"/>
                <w:lang w:val="en-US" w:eastAsia="zh-CN"/>
              </w:rPr>
              <w:t>刘华伟，李碧君，朱寰，杨卫东，李海峰，鲍颜红，王小英</w:t>
            </w:r>
          </w:p>
        </w:tc>
        <w:tc>
          <w:tcPr>
            <w:tcW w:w="6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default" w:ascii="Times New Roman" w:hAnsi="Times New Roman" w:eastAsia="宋体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theme="minorBidi"/>
                <w:szCs w:val="21"/>
                <w:highlight w:val="none"/>
                <w:lang w:val="en-US" w:eastAsia="zh-CN"/>
              </w:rPr>
              <w:t>有效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63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标准</w:t>
            </w:r>
          </w:p>
        </w:tc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电化学储能系统储能变流器技术规范</w:t>
            </w:r>
          </w:p>
        </w:tc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中国</w:t>
            </w:r>
          </w:p>
        </w:tc>
        <w:tc>
          <w:tcPr>
            <w:tcW w:w="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GB/T 34120-2017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default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2018年2月1日</w:t>
            </w:r>
          </w:p>
        </w:tc>
        <w:tc>
          <w:tcPr>
            <w:tcW w:w="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both"/>
              <w:rPr>
                <w:rFonts w:hint="default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国家标准</w:t>
            </w:r>
          </w:p>
        </w:tc>
        <w:tc>
          <w:tcPr>
            <w:tcW w:w="1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许继集团有限公司、中国电力科学研究院</w:t>
            </w:r>
          </w:p>
        </w:tc>
        <w:tc>
          <w:tcPr>
            <w:tcW w:w="1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于文斌、陈天锦、曹智慧、赵玲、陈世峰、张建兴、胡娟、闫涛、陈志磊、吴福保、陈俊凯</w:t>
            </w:r>
          </w:p>
        </w:tc>
        <w:tc>
          <w:tcPr>
            <w:tcW w:w="6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eastAsia="宋体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有效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63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标准</w:t>
            </w:r>
          </w:p>
        </w:tc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cstheme="minorBidi"/>
                <w:szCs w:val="21"/>
                <w:highlight w:val="none"/>
                <w:lang w:val="en-US" w:eastAsia="zh-CN"/>
              </w:rPr>
            </w:pPr>
            <w:r>
              <w:rPr>
                <w:rFonts w:cstheme="minorBidi"/>
                <w:szCs w:val="21"/>
                <w:highlight w:val="none"/>
                <w:lang w:val="en-US" w:eastAsia="zh-CN"/>
              </w:rPr>
              <w:t>三电平直流/直流双向变换器技术规范</w:t>
            </w:r>
          </w:p>
        </w:tc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中国</w:t>
            </w:r>
          </w:p>
        </w:tc>
        <w:tc>
          <w:tcPr>
            <w:tcW w:w="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NB/T42160-2018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default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2018年6月6日</w:t>
            </w:r>
          </w:p>
        </w:tc>
        <w:tc>
          <w:tcPr>
            <w:tcW w:w="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default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电力行业标准</w:t>
            </w:r>
          </w:p>
        </w:tc>
        <w:tc>
          <w:tcPr>
            <w:tcW w:w="1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许继集团、：国网北京市电力公司、许昌开普检测技术有限公司、中国电力科学研究院新</w:t>
            </w:r>
          </w:p>
          <w:p>
            <w:pPr>
              <w:adjustRightInd w:val="0"/>
              <w:snapToGrid w:val="0"/>
              <w:jc w:val="center"/>
              <w:rPr>
                <w:rFonts w:hint="eastAsia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能源研究中心、北京交通大学、华中科技大学、国网山东省电力公司电力科学研究院、南京南瑞继保电</w:t>
            </w:r>
          </w:p>
          <w:p>
            <w:pPr>
              <w:adjustRightInd w:val="0"/>
              <w:snapToGrid w:val="0"/>
              <w:jc w:val="center"/>
              <w:rPr>
                <w:rFonts w:hint="eastAsia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气有限公司、国电南瑞科技股份有限公司、国网山西省电力公司、厦门科华恒盛股份有限公司、珠海泰</w:t>
            </w:r>
          </w:p>
          <w:p>
            <w:pPr>
              <w:adjustRightInd w:val="0"/>
              <w:snapToGrid w:val="0"/>
              <w:jc w:val="center"/>
              <w:rPr>
                <w:rFonts w:hint="eastAsia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坦科技股份有限公司、英飞凌科技（中国）有限公司、中车株洲电力机车研究所有限公司、佛山市贝瑞</w:t>
            </w:r>
          </w:p>
          <w:p>
            <w:pPr>
              <w:adjustRightInd w:val="0"/>
              <w:snapToGrid w:val="0"/>
              <w:jc w:val="center"/>
              <w:rPr>
                <w:rFonts w:hint="eastAsia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尔电气科技有限公司、西安爱科赛博电气股份有限公司、温州大学、青岛创统科技发展有限公司</w:t>
            </w:r>
          </w:p>
        </w:tc>
        <w:tc>
          <w:tcPr>
            <w:tcW w:w="1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李瑞生、黄仁乐、李全喜、曹远志、吴学智、张宇、孙树敏、丁勇、苏先进、潘景宜、史威、马振宇、梁帅奇、冯广义、杨兆华、王强、戴瑜兴、郜克存、赵成功、马红伟、黄利军、郭宝甫、李献伟、徐军、翟登辉</w:t>
            </w:r>
          </w:p>
        </w:tc>
        <w:tc>
          <w:tcPr>
            <w:tcW w:w="6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eastAsia="宋体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有效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63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标准</w:t>
            </w:r>
          </w:p>
        </w:tc>
        <w:tc>
          <w:tcPr>
            <w:tcW w:w="11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cstheme="minorBidi"/>
                <w:szCs w:val="21"/>
                <w:highlight w:val="none"/>
                <w:lang w:val="en-US" w:eastAsia="zh-CN"/>
              </w:rPr>
            </w:pPr>
            <w:r>
              <w:rPr>
                <w:rFonts w:cstheme="minorBidi"/>
                <w:szCs w:val="21"/>
                <w:highlight w:val="none"/>
                <w:lang w:val="en-US" w:eastAsia="zh-CN"/>
              </w:rPr>
              <w:t>三电平交流/直流双向变换器技术规范</w:t>
            </w:r>
          </w:p>
        </w:tc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cstheme="minorBidi"/>
                <w:szCs w:val="21"/>
                <w:highlight w:val="none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中国</w:t>
            </w:r>
          </w:p>
        </w:tc>
        <w:tc>
          <w:tcPr>
            <w:tcW w:w="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NB/T42159-2018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default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2018年6月6日</w:t>
            </w:r>
          </w:p>
        </w:tc>
        <w:tc>
          <w:tcPr>
            <w:tcW w:w="7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default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电力行业标准</w:t>
            </w:r>
          </w:p>
        </w:tc>
        <w:tc>
          <w:tcPr>
            <w:tcW w:w="1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许继集团、国网北京市电力公司、许昌开普检测技术有限公司、中国电力科学研究院新</w:t>
            </w:r>
          </w:p>
          <w:p>
            <w:pPr>
              <w:adjustRightInd w:val="0"/>
              <w:snapToGrid w:val="0"/>
              <w:jc w:val="center"/>
              <w:rPr>
                <w:rFonts w:hint="eastAsia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能源研究中心、北京交通大学、华中科技大学、国网山东省电力公司电力科学研究院、南京南瑞继保电</w:t>
            </w:r>
          </w:p>
          <w:p>
            <w:pPr>
              <w:adjustRightInd w:val="0"/>
              <w:snapToGrid w:val="0"/>
              <w:jc w:val="center"/>
              <w:rPr>
                <w:rFonts w:hint="eastAsia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气有限公司、国电南瑞科技股份有限公司、国网山西省电力公司、厦门科华恒盛股份有限公司、珠海泰</w:t>
            </w:r>
          </w:p>
          <w:p>
            <w:pPr>
              <w:adjustRightInd w:val="0"/>
              <w:snapToGrid w:val="0"/>
              <w:jc w:val="center"/>
              <w:rPr>
                <w:rFonts w:hint="eastAsia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坦科技股份有限公司、英飞凌科技（中国）有限公司、中车株洲电力机车研究所有限公司、佛山市贝瑞</w:t>
            </w:r>
          </w:p>
          <w:p>
            <w:pPr>
              <w:adjustRightInd w:val="0"/>
              <w:snapToGrid w:val="0"/>
              <w:jc w:val="center"/>
              <w:rPr>
                <w:rFonts w:hint="eastAsia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尔电气科技有限公司、西安爱科赛博电气股份有限公司、温州大学、青岛创统科技发展有限公司</w:t>
            </w:r>
          </w:p>
        </w:tc>
        <w:tc>
          <w:tcPr>
            <w:tcW w:w="1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李瑞生、黄仁乐、李全喜、曹远志、吴学智、张宇、孙树敏、丁勇、苏先进、潘景宜、史威、马振宇、梁帅奇、冯广义、杨兆华、王强、戴瑜兴、郜克存、赵成功、马红伟、黄利军、郭宝甫、李献伟、翟登辉、徐军</w:t>
            </w:r>
          </w:p>
        </w:tc>
        <w:tc>
          <w:tcPr>
            <w:tcW w:w="6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eastAsia="宋体" w:cstheme="minorBidi"/>
                <w:szCs w:val="21"/>
                <w:highlight w:val="none"/>
                <w:lang w:val="en-US" w:eastAsia="zh-CN"/>
              </w:rPr>
            </w:pPr>
            <w:r>
              <w:rPr>
                <w:rFonts w:hint="eastAsia" w:cstheme="minorBidi"/>
                <w:szCs w:val="21"/>
                <w:highlight w:val="none"/>
                <w:lang w:val="en-US" w:eastAsia="zh-CN"/>
              </w:rPr>
              <w:t>有效</w:t>
            </w:r>
          </w:p>
        </w:tc>
      </w:tr>
    </w:tbl>
    <w:p>
      <w:pPr>
        <w:adjustRightInd w:val="0"/>
        <w:snapToGrid w:val="0"/>
        <w:jc w:val="center"/>
        <w:rPr>
          <w:rFonts w:cstheme="minorBidi"/>
          <w:szCs w:val="21"/>
          <w:highlight w:val="none"/>
        </w:rPr>
      </w:pPr>
    </w:p>
    <w:p>
      <w:pPr>
        <w:spacing w:line="590" w:lineRule="exact"/>
        <w:ind w:firstLine="482" w:firstLineChars="200"/>
        <w:rPr>
          <w:rFonts w:ascii="方正仿宋_GBK" w:hAnsi="方正仿宋_GBK" w:eastAsia="方正仿宋_GBK" w:cs="方正仿宋_GBK"/>
          <w:b/>
          <w:bCs/>
          <w:sz w:val="24"/>
          <w:szCs w:val="24"/>
        </w:rPr>
      </w:pPr>
      <w:r>
        <w:rPr>
          <w:rFonts w:hint="eastAsia" w:ascii="方正仿宋_GBK" w:hAnsi="方正仿宋_GBK" w:eastAsia="方正仿宋_GBK" w:cs="方正仿宋_GBK"/>
          <w:b/>
          <w:bCs/>
          <w:sz w:val="24"/>
          <w:szCs w:val="24"/>
        </w:rPr>
        <w:t>（</w:t>
      </w:r>
      <w:r>
        <w:rPr>
          <w:rFonts w:hint="eastAsia" w:ascii="方正仿宋_GBK" w:hAnsi="方正仿宋_GBK" w:eastAsia="方正仿宋_GBK" w:cs="方正仿宋_GBK"/>
          <w:b/>
          <w:bCs/>
          <w:sz w:val="24"/>
          <w:szCs w:val="24"/>
          <w:lang w:val="en-US" w:eastAsia="zh-CN"/>
        </w:rPr>
        <w:t>3</w:t>
      </w:r>
      <w:r>
        <w:rPr>
          <w:rFonts w:hint="eastAsia" w:ascii="方正仿宋_GBK" w:hAnsi="方正仿宋_GBK" w:eastAsia="方正仿宋_GBK" w:cs="方正仿宋_GBK"/>
          <w:b/>
          <w:bCs/>
          <w:sz w:val="24"/>
          <w:szCs w:val="24"/>
        </w:rPr>
        <w:t>）主要完成人</w:t>
      </w:r>
    </w:p>
    <w:p>
      <w:pPr>
        <w:spacing w:line="590" w:lineRule="exact"/>
        <w:ind w:firstLine="480" w:firstLineChars="200"/>
        <w:rPr>
          <w:rFonts w:hint="default" w:ascii="方正仿宋_GBK" w:hAnsi="方正仿宋_GBK" w:eastAsia="方正仿宋_GBK" w:cs="方正仿宋_GBK"/>
          <w:bCs/>
          <w:sz w:val="24"/>
          <w:szCs w:val="24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sz w:val="24"/>
          <w:szCs w:val="24"/>
          <w:highlight w:val="none"/>
        </w:rPr>
        <w:t>朱寰、桑丙玉、张宁、张澄、刘科、程亮、张琦兵、苏麟、谢珍建、</w:t>
      </w:r>
      <w:r>
        <w:rPr>
          <w:rFonts w:hint="eastAsia" w:ascii="方正仿宋_GBK" w:hAnsi="方正仿宋_GBK" w:eastAsia="方正仿宋_GBK" w:cs="方正仿宋_GBK"/>
          <w:bCs/>
          <w:sz w:val="24"/>
          <w:szCs w:val="24"/>
          <w:highlight w:val="none"/>
          <w:lang w:val="en-US" w:eastAsia="zh-CN"/>
        </w:rPr>
        <w:t>薛金花</w:t>
      </w:r>
      <w:r>
        <w:rPr>
          <w:rFonts w:hint="eastAsia" w:ascii="方正仿宋_GBK" w:hAnsi="方正仿宋_GBK" w:eastAsia="方正仿宋_GBK" w:cs="方正仿宋_GBK"/>
          <w:bCs/>
          <w:sz w:val="24"/>
          <w:szCs w:val="24"/>
          <w:highlight w:val="none"/>
        </w:rPr>
        <w:t>、</w:t>
      </w:r>
      <w:r>
        <w:rPr>
          <w:rFonts w:hint="eastAsia" w:ascii="方正仿宋_GBK" w:hAnsi="方正仿宋_GBK" w:eastAsia="方正仿宋_GBK" w:cs="方正仿宋_GBK"/>
          <w:bCs/>
          <w:sz w:val="24"/>
          <w:szCs w:val="24"/>
          <w:highlight w:val="none"/>
          <w:lang w:val="en-US" w:eastAsia="zh-CN"/>
        </w:rPr>
        <w:t>戴晖</w:t>
      </w:r>
    </w:p>
    <w:p>
      <w:pPr>
        <w:spacing w:line="590" w:lineRule="exact"/>
        <w:ind w:firstLine="482" w:firstLineChars="200"/>
        <w:rPr>
          <w:rFonts w:hint="eastAsia" w:ascii="方正仿宋_GBK" w:hAnsi="方正仿宋_GBK" w:eastAsia="方正仿宋_GBK" w:cs="方正仿宋_GBK"/>
          <w:b/>
          <w:bCs/>
          <w:sz w:val="24"/>
          <w:szCs w:val="24"/>
        </w:rPr>
      </w:pPr>
      <w:r>
        <w:rPr>
          <w:rFonts w:hint="eastAsia" w:ascii="方正仿宋_GBK" w:hAnsi="方正仿宋_GBK" w:eastAsia="方正仿宋_GBK" w:cs="方正仿宋_GBK"/>
          <w:b/>
          <w:bCs/>
          <w:sz w:val="24"/>
          <w:szCs w:val="24"/>
        </w:rPr>
        <w:t>（</w:t>
      </w:r>
      <w:r>
        <w:rPr>
          <w:rFonts w:hint="eastAsia" w:ascii="方正仿宋_GBK" w:hAnsi="方正仿宋_GBK" w:eastAsia="方正仿宋_GBK" w:cs="方正仿宋_GBK"/>
          <w:b/>
          <w:bCs/>
          <w:sz w:val="24"/>
          <w:szCs w:val="24"/>
          <w:lang w:val="en-US" w:eastAsia="zh-CN"/>
        </w:rPr>
        <w:t>4</w:t>
      </w:r>
      <w:r>
        <w:rPr>
          <w:rFonts w:hint="eastAsia" w:ascii="方正仿宋_GBK" w:hAnsi="方正仿宋_GBK" w:eastAsia="方正仿宋_GBK" w:cs="方正仿宋_GBK"/>
          <w:b/>
          <w:bCs/>
          <w:sz w:val="24"/>
          <w:szCs w:val="24"/>
        </w:rPr>
        <w:t>）主要完成单位</w:t>
      </w:r>
    </w:p>
    <w:p>
      <w:pPr>
        <w:spacing w:line="590" w:lineRule="exact"/>
        <w:ind w:firstLine="480" w:firstLineChars="200"/>
        <w:rPr>
          <w:rFonts w:ascii="方正仿宋_GBK" w:hAnsi="方正仿宋_GBK" w:eastAsia="方正仿宋_GBK" w:cs="方正仿宋_GBK"/>
          <w:sz w:val="24"/>
          <w:szCs w:val="24"/>
        </w:rPr>
      </w:pPr>
      <w:r>
        <w:rPr>
          <w:rFonts w:hint="eastAsia" w:ascii="方正仿宋_GBK" w:hAnsi="方正仿宋_GBK" w:eastAsia="方正仿宋_GBK" w:cs="方正仿宋_GBK"/>
          <w:bCs/>
          <w:sz w:val="24"/>
          <w:szCs w:val="24"/>
          <w:highlight w:val="none"/>
        </w:rPr>
        <w:t>国网江苏省电力有限公司、中国电力科学研究院有限公司南京分院、清华大学、南瑞集团有限公司、中国能源建设集团江苏省电力设计院有限公司、许继集团有限公司、中天储能科技有限公司、长园深瑞继保自动化有限公司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C854C1"/>
    <w:multiLevelType w:val="multilevel"/>
    <w:tmpl w:val="57C854C1"/>
    <w:lvl w:ilvl="0" w:tentative="0">
      <w:start w:val="1"/>
      <w:numFmt w:val="decimal"/>
      <w:lvlText w:val="（%1）"/>
      <w:lvlJc w:val="left"/>
      <w:pPr>
        <w:ind w:left="1200" w:hanging="720"/>
      </w:pPr>
      <w:rPr>
        <w:rFonts w:hint="default"/>
        <w:b/>
      </w:rPr>
    </w:lvl>
    <w:lvl w:ilvl="1" w:tentative="0">
      <w:start w:val="1"/>
      <w:numFmt w:val="lowerLetter"/>
      <w:lvlText w:val="%2)"/>
      <w:lvlJc w:val="left"/>
      <w:pPr>
        <w:ind w:left="1320" w:hanging="420"/>
      </w:pPr>
    </w:lvl>
    <w:lvl w:ilvl="2" w:tentative="0">
      <w:start w:val="1"/>
      <w:numFmt w:val="lowerRoman"/>
      <w:lvlText w:val="%3."/>
      <w:lvlJc w:val="right"/>
      <w:pPr>
        <w:ind w:left="1740" w:hanging="420"/>
      </w:pPr>
    </w:lvl>
    <w:lvl w:ilvl="3" w:tentative="0">
      <w:start w:val="1"/>
      <w:numFmt w:val="decimal"/>
      <w:lvlText w:val="%4."/>
      <w:lvlJc w:val="left"/>
      <w:pPr>
        <w:ind w:left="2160" w:hanging="420"/>
      </w:pPr>
    </w:lvl>
    <w:lvl w:ilvl="4" w:tentative="0">
      <w:start w:val="1"/>
      <w:numFmt w:val="lowerLetter"/>
      <w:lvlText w:val="%5)"/>
      <w:lvlJc w:val="left"/>
      <w:pPr>
        <w:ind w:left="2580" w:hanging="420"/>
      </w:pPr>
    </w:lvl>
    <w:lvl w:ilvl="5" w:tentative="0">
      <w:start w:val="1"/>
      <w:numFmt w:val="lowerRoman"/>
      <w:lvlText w:val="%6."/>
      <w:lvlJc w:val="right"/>
      <w:pPr>
        <w:ind w:left="3000" w:hanging="420"/>
      </w:pPr>
    </w:lvl>
    <w:lvl w:ilvl="6" w:tentative="0">
      <w:start w:val="1"/>
      <w:numFmt w:val="decimal"/>
      <w:lvlText w:val="%7."/>
      <w:lvlJc w:val="left"/>
      <w:pPr>
        <w:ind w:left="3420" w:hanging="420"/>
      </w:pPr>
    </w:lvl>
    <w:lvl w:ilvl="7" w:tentative="0">
      <w:start w:val="1"/>
      <w:numFmt w:val="lowerLetter"/>
      <w:lvlText w:val="%8)"/>
      <w:lvlJc w:val="left"/>
      <w:pPr>
        <w:ind w:left="3840" w:hanging="420"/>
      </w:pPr>
    </w:lvl>
    <w:lvl w:ilvl="8" w:tentative="0">
      <w:start w:val="1"/>
      <w:numFmt w:val="lowerRoman"/>
      <w:lvlText w:val="%9."/>
      <w:lvlJc w:val="right"/>
      <w:pPr>
        <w:ind w:left="426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 w:val="1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5C78B1"/>
    <w:rsid w:val="00017B93"/>
    <w:rsid w:val="0004228C"/>
    <w:rsid w:val="000932A2"/>
    <w:rsid w:val="000C760F"/>
    <w:rsid w:val="00172BB8"/>
    <w:rsid w:val="002045FA"/>
    <w:rsid w:val="00280F85"/>
    <w:rsid w:val="003B0853"/>
    <w:rsid w:val="00411295"/>
    <w:rsid w:val="0045047B"/>
    <w:rsid w:val="00540AC2"/>
    <w:rsid w:val="00567A0F"/>
    <w:rsid w:val="00597D3C"/>
    <w:rsid w:val="005C78B1"/>
    <w:rsid w:val="005D5650"/>
    <w:rsid w:val="00683B4C"/>
    <w:rsid w:val="006B4348"/>
    <w:rsid w:val="006D4C42"/>
    <w:rsid w:val="0075104D"/>
    <w:rsid w:val="007D1293"/>
    <w:rsid w:val="00901F7E"/>
    <w:rsid w:val="009814A9"/>
    <w:rsid w:val="00AB7D80"/>
    <w:rsid w:val="00B50827"/>
    <w:rsid w:val="00B65176"/>
    <w:rsid w:val="00BA1C50"/>
    <w:rsid w:val="00C770D5"/>
    <w:rsid w:val="00CA65B2"/>
    <w:rsid w:val="00D41ECD"/>
    <w:rsid w:val="00DD2D9F"/>
    <w:rsid w:val="00DF0F63"/>
    <w:rsid w:val="00EB09CD"/>
    <w:rsid w:val="00FE06BE"/>
    <w:rsid w:val="14042D48"/>
    <w:rsid w:val="1A1C1AAC"/>
    <w:rsid w:val="1EF055C1"/>
    <w:rsid w:val="22653B53"/>
    <w:rsid w:val="23EE4658"/>
    <w:rsid w:val="3F4C3755"/>
    <w:rsid w:val="41CA2EFF"/>
    <w:rsid w:val="463B5B19"/>
    <w:rsid w:val="55780871"/>
    <w:rsid w:val="69843A06"/>
    <w:rsid w:val="6AD9642C"/>
    <w:rsid w:val="6DB6759E"/>
    <w:rsid w:val="708765BE"/>
    <w:rsid w:val="788248DE"/>
    <w:rsid w:val="7A6C65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List Paragraph"/>
    <w:basedOn w:val="1"/>
    <w:qFormat/>
    <w:uiPriority w:val="34"/>
    <w:pPr>
      <w:ind w:firstLine="420" w:firstLineChars="200"/>
    </w:pPr>
  </w:style>
  <w:style w:type="character" w:customStyle="1" w:styleId="8">
    <w:name w:val="页眉 Char"/>
    <w:basedOn w:val="6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9">
    <w:name w:val="页脚 Char"/>
    <w:basedOn w:val="6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0">
    <w:name w:val="批注框文本 Char"/>
    <w:basedOn w:val="6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1">
    <w:name w:val="font11"/>
    <w:basedOn w:val="6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12">
    <w:name w:val="font01"/>
    <w:basedOn w:val="6"/>
    <w:qFormat/>
    <w:uiPriority w:val="0"/>
    <w:rPr>
      <w:rFonts w:ascii="Calibri" w:hAnsi="Calibri" w:cs="Calibri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72</Words>
  <Characters>413</Characters>
  <Lines>3</Lines>
  <Paragraphs>1</Paragraphs>
  <TotalTime>1</TotalTime>
  <ScaleCrop>false</ScaleCrop>
  <LinksUpToDate>false</LinksUpToDate>
  <CharactersWithSpaces>484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2020-01-03T05:25:00Z</dcterms:created>
  <dc:creator>Qin chuan</dc:creator>
  <cp:lastModifiedBy>刘国静</cp:lastModifiedBy>
  <cp:lastPrinted>2020-01-03T05:28:00Z</cp:lastPrinted>
  <dcterms:modified xsi:type="dcterms:W3CDTF">2020-05-11T00:54:36Z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