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C8E" w:rsidRDefault="000A1919">
      <w:pPr>
        <w:spacing w:line="590" w:lineRule="exact"/>
        <w:rPr>
          <w:rFonts w:ascii="Times New Roman" w:eastAsia="方正仿宋_GBK" w:hAnsi="Times New Roman" w:cs="Times New Roman"/>
          <w:sz w:val="32"/>
        </w:rPr>
      </w:pPr>
      <w:r>
        <w:rPr>
          <w:rFonts w:ascii="Times New Roman" w:eastAsia="方正仿宋_GBK" w:hAnsi="Times New Roman" w:cs="Times New Roman" w:hint="eastAsia"/>
          <w:sz w:val="32"/>
        </w:rPr>
        <w:t>附件</w:t>
      </w:r>
      <w:bookmarkStart w:id="0" w:name="_GoBack"/>
      <w:bookmarkEnd w:id="0"/>
    </w:p>
    <w:p w:rsidR="00486C8E" w:rsidRDefault="00486C8E">
      <w:pPr>
        <w:spacing w:line="590" w:lineRule="exact"/>
        <w:rPr>
          <w:rFonts w:ascii="Times New Roman" w:eastAsia="方正仿宋_GBK" w:hAnsi="Times New Roman" w:cs="Times New Roman"/>
          <w:sz w:val="32"/>
        </w:rPr>
      </w:pPr>
    </w:p>
    <w:p w:rsidR="00486C8E" w:rsidRDefault="000A1919">
      <w:pPr>
        <w:spacing w:line="59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hint="eastAsia"/>
          <w:sz w:val="36"/>
          <w:szCs w:val="36"/>
        </w:rPr>
        <w:t>江苏省太湖流域战略性新兴产业类别目录（</w:t>
      </w:r>
      <w:r>
        <w:rPr>
          <w:rFonts w:ascii="Times New Roman" w:eastAsia="方正小标宋_GBK" w:hAnsi="Times New Roman" w:cs="Times New Roman" w:hint="eastAsia"/>
          <w:sz w:val="36"/>
          <w:szCs w:val="36"/>
        </w:rPr>
        <w:t>2018</w:t>
      </w:r>
      <w:r>
        <w:rPr>
          <w:rFonts w:ascii="Times New Roman" w:eastAsia="方正小标宋_GBK" w:hAnsi="Times New Roman" w:cs="Times New Roman" w:hint="eastAsia"/>
          <w:sz w:val="36"/>
          <w:szCs w:val="36"/>
        </w:rPr>
        <w:t>年本）</w:t>
      </w:r>
    </w:p>
    <w:p w:rsidR="00486C8E" w:rsidRDefault="00486C8E">
      <w:pPr>
        <w:spacing w:line="590" w:lineRule="exact"/>
        <w:ind w:firstLineChars="200" w:firstLine="640"/>
        <w:jc w:val="right"/>
        <w:rPr>
          <w:rFonts w:ascii="Times New Roman" w:eastAsia="方正仿宋_GBK" w:hAnsi="Times New Roman" w:cs="Times New Roman"/>
          <w:sz w:val="32"/>
        </w:rPr>
      </w:pPr>
    </w:p>
    <w:p w:rsidR="00486C8E" w:rsidRDefault="000A1919">
      <w:pPr>
        <w:spacing w:line="590" w:lineRule="exact"/>
        <w:ind w:firstLineChars="200" w:firstLine="640"/>
        <w:outlineLvl w:val="0"/>
        <w:rPr>
          <w:rFonts w:ascii="Times New Roman" w:eastAsia="方正黑体_GBK" w:hAnsi="Times New Roman" w:cs="Times New Roman"/>
          <w:sz w:val="32"/>
          <w:szCs w:val="32"/>
        </w:rPr>
      </w:pPr>
      <w:bookmarkStart w:id="1" w:name="_Toc499458853"/>
      <w:r>
        <w:rPr>
          <w:rFonts w:ascii="Times New Roman" w:eastAsia="方正黑体_GBK" w:hAnsi="Times New Roman" w:cs="Times New Roman" w:hint="eastAsia"/>
          <w:sz w:val="32"/>
          <w:szCs w:val="32"/>
        </w:rPr>
        <w:t>一、</w:t>
      </w:r>
      <w:r>
        <w:rPr>
          <w:rFonts w:ascii="Times New Roman" w:eastAsia="方正黑体_GBK" w:hAnsi="Times New Roman" w:cs="Times New Roman"/>
          <w:sz w:val="32"/>
          <w:szCs w:val="32"/>
        </w:rPr>
        <w:t>新一代信息技术产业</w:t>
      </w:r>
      <w:bookmarkEnd w:id="1"/>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hint="eastAsia"/>
          <w:sz w:val="32"/>
          <w:szCs w:val="32"/>
        </w:rPr>
        <w:t>1.</w:t>
      </w:r>
      <w:r>
        <w:rPr>
          <w:rFonts w:ascii="Times New Roman" w:eastAsia="方正仿宋_GBK" w:hAnsi="Times New Roman" w:cs="Times New Roman" w:hint="eastAsia"/>
          <w:sz w:val="32"/>
          <w:szCs w:val="32"/>
        </w:rPr>
        <w:t>物联网技术和设备的开发与应用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hint="eastAsia"/>
          <w:sz w:val="32"/>
          <w:szCs w:val="32"/>
        </w:rPr>
        <w:t>2.</w:t>
      </w:r>
      <w:r>
        <w:rPr>
          <w:rFonts w:ascii="Times New Roman" w:eastAsia="方正仿宋_GBK" w:hAnsi="Times New Roman" w:cs="Times New Roman" w:hint="eastAsia"/>
          <w:sz w:val="32"/>
          <w:szCs w:val="32"/>
        </w:rPr>
        <w:t>4G</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5G</w:t>
      </w:r>
      <w:r>
        <w:rPr>
          <w:rFonts w:ascii="Times New Roman" w:eastAsia="方正仿宋_GBK" w:hAnsi="Times New Roman" w:cs="Times New Roman" w:hint="eastAsia"/>
          <w:sz w:val="32"/>
          <w:szCs w:val="32"/>
        </w:rPr>
        <w:t>及后续移动通信系统核心技术和设备的开发与制造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高性能特种光纤光缆制造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量子通信设备的制造与应用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卫星通信系统、卫星应急通信系统、卫星应用终端及卫星遥感设备的制造与应用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卫星导航系统技术的开发与应用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下一代互联网及未来网络设备、芯片、系统以及相关测试设备的开发与制造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高性能路由器和交换机、高端服务器、海量信息存储、软件定义网络（</w:t>
      </w:r>
      <w:r>
        <w:rPr>
          <w:rFonts w:ascii="Times New Roman" w:eastAsia="方正仿宋_GBK" w:hAnsi="Times New Roman" w:cs="Times New Roman" w:hint="eastAsia"/>
          <w:sz w:val="32"/>
          <w:szCs w:val="32"/>
        </w:rPr>
        <w:t>SDN</w:t>
      </w:r>
      <w:r>
        <w:rPr>
          <w:rFonts w:ascii="Times New Roman" w:eastAsia="方正仿宋_GBK" w:hAnsi="Times New Roman" w:cs="Times New Roman" w:hint="eastAsia"/>
          <w:sz w:val="32"/>
          <w:szCs w:val="32"/>
        </w:rPr>
        <w:t>）设备、云计算数据中心设备以及关键配套部件的开发与制造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集成电路设计</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10.</w:t>
      </w:r>
      <w:r>
        <w:rPr>
          <w:rFonts w:ascii="Times New Roman" w:eastAsia="方正仿宋_GBK" w:hAnsi="Times New Roman" w:cs="Times New Roman" w:hint="eastAsia"/>
          <w:sz w:val="32"/>
          <w:szCs w:val="32"/>
        </w:rPr>
        <w:t>中央处理器（</w:t>
      </w:r>
      <w:r>
        <w:rPr>
          <w:rFonts w:ascii="Times New Roman" w:eastAsia="方正仿宋_GBK" w:hAnsi="Times New Roman" w:cs="Times New Roman" w:hint="eastAsia"/>
          <w:sz w:val="32"/>
          <w:szCs w:val="32"/>
        </w:rPr>
        <w:t>CPU</w:t>
      </w:r>
      <w:r>
        <w:rPr>
          <w:rFonts w:ascii="Times New Roman" w:eastAsia="方正仿宋_GBK" w:hAnsi="Times New Roman" w:cs="Times New Roman" w:hint="eastAsia"/>
          <w:sz w:val="32"/>
          <w:szCs w:val="32"/>
        </w:rPr>
        <w:t>）、微控制器（</w:t>
      </w:r>
      <w:r>
        <w:rPr>
          <w:rFonts w:ascii="Times New Roman" w:eastAsia="方正仿宋_GBK" w:hAnsi="Times New Roman" w:cs="Times New Roman" w:hint="eastAsia"/>
          <w:sz w:val="32"/>
          <w:szCs w:val="32"/>
        </w:rPr>
        <w:t>MCU</w:t>
      </w:r>
      <w:r>
        <w:rPr>
          <w:rFonts w:ascii="Times New Roman" w:eastAsia="方正仿宋_GBK" w:hAnsi="Times New Roman" w:cs="Times New Roman" w:hint="eastAsia"/>
          <w:sz w:val="32"/>
          <w:szCs w:val="32"/>
        </w:rPr>
        <w:t>）、存储器、数字信号处理器（</w:t>
      </w:r>
      <w:r>
        <w:rPr>
          <w:rFonts w:ascii="Times New Roman" w:eastAsia="方正仿宋_GBK" w:hAnsi="Times New Roman" w:cs="Times New Roman" w:hint="eastAsia"/>
          <w:sz w:val="32"/>
          <w:szCs w:val="32"/>
        </w:rPr>
        <w:t>DSP</w:t>
      </w:r>
      <w:r>
        <w:rPr>
          <w:rFonts w:ascii="Times New Roman" w:eastAsia="方正仿宋_GBK" w:hAnsi="Times New Roman" w:cs="Times New Roman" w:hint="eastAsia"/>
          <w:sz w:val="32"/>
          <w:szCs w:val="32"/>
        </w:rPr>
        <w:t>）、嵌入式</w:t>
      </w:r>
      <w:r>
        <w:rPr>
          <w:rFonts w:ascii="Times New Roman" w:eastAsia="方正仿宋_GBK" w:hAnsi="Times New Roman" w:cs="Times New Roman" w:hint="eastAsia"/>
          <w:sz w:val="32"/>
          <w:szCs w:val="32"/>
        </w:rPr>
        <w:t>CPU</w:t>
      </w:r>
      <w:r>
        <w:rPr>
          <w:rFonts w:ascii="Times New Roman" w:eastAsia="方正仿宋_GBK" w:hAnsi="Times New Roman" w:cs="Times New Roman" w:hint="eastAsia"/>
          <w:sz w:val="32"/>
          <w:szCs w:val="32"/>
        </w:rPr>
        <w:t>、通信芯片、数字电视芯片、多媒体芯片、信息安全和视频监控芯片、智能卡芯片、汽车电子</w:t>
      </w:r>
      <w:r>
        <w:rPr>
          <w:rFonts w:ascii="Times New Roman" w:eastAsia="方正仿宋_GBK" w:hAnsi="Times New Roman" w:cs="Times New Roman" w:hint="eastAsia"/>
          <w:sz w:val="32"/>
          <w:szCs w:val="32"/>
        </w:rPr>
        <w:lastRenderedPageBreak/>
        <w:t>芯片、工业控制芯片、智能电网芯片、人工智能芯片、</w:t>
      </w:r>
      <w:r>
        <w:rPr>
          <w:rFonts w:ascii="Times New Roman" w:eastAsia="方正仿宋_GBK" w:hAnsi="Times New Roman" w:cs="Times New Roman" w:hint="eastAsia"/>
          <w:sz w:val="32"/>
          <w:szCs w:val="32"/>
        </w:rPr>
        <w:t>MEMS</w:t>
      </w:r>
      <w:r>
        <w:rPr>
          <w:rFonts w:ascii="Times New Roman" w:eastAsia="方正仿宋_GBK" w:hAnsi="Times New Roman" w:cs="Times New Roman" w:hint="eastAsia"/>
          <w:sz w:val="32"/>
          <w:szCs w:val="32"/>
        </w:rPr>
        <w:t>传感器芯片、功率控制电路及半导体电力电子器件、光电混合集成电路等集成电路芯片产品开发与制造，线宽</w:t>
      </w: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0</w:t>
      </w:r>
      <w:r>
        <w:rPr>
          <w:rFonts w:ascii="Times New Roman" w:eastAsia="方正仿宋_GBK" w:hAnsi="Times New Roman" w:cs="Times New Roman" w:hint="eastAsia"/>
          <w:sz w:val="32"/>
          <w:szCs w:val="32"/>
        </w:rPr>
        <w:t>纳米及以下大规模数字集成电路制造，</w:t>
      </w:r>
      <w:r>
        <w:rPr>
          <w:rFonts w:ascii="Times New Roman" w:eastAsia="方正仿宋_GBK" w:hAnsi="Times New Roman" w:cs="Times New Roman" w:hint="eastAsia"/>
          <w:sz w:val="32"/>
          <w:szCs w:val="32"/>
        </w:rPr>
        <w:t>0.5</w:t>
      </w:r>
      <w:r>
        <w:rPr>
          <w:rFonts w:ascii="Times New Roman" w:eastAsia="方正仿宋_GBK" w:hAnsi="Times New Roman" w:cs="Times New Roman" w:hint="eastAsia"/>
          <w:sz w:val="32"/>
          <w:szCs w:val="32"/>
        </w:rPr>
        <w:t>微米及以下模拟、数模集成电路制造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11.</w:t>
      </w:r>
      <w:r>
        <w:rPr>
          <w:rFonts w:ascii="Times New Roman" w:eastAsia="方正仿宋_GBK" w:hAnsi="Times New Roman" w:cs="Times New Roman" w:hint="eastAsia"/>
          <w:sz w:val="32"/>
          <w:szCs w:val="32"/>
        </w:rPr>
        <w:t>系统级封装（</w:t>
      </w:r>
      <w:r>
        <w:rPr>
          <w:rFonts w:ascii="Times New Roman" w:eastAsia="方正仿宋_GBK" w:hAnsi="Times New Roman" w:cs="Times New Roman" w:hint="eastAsia"/>
          <w:sz w:val="32"/>
          <w:szCs w:val="32"/>
        </w:rPr>
        <w:t>SiP</w:t>
      </w:r>
      <w:r>
        <w:rPr>
          <w:rFonts w:ascii="Times New Roman" w:eastAsia="方正仿宋_GBK" w:hAnsi="Times New Roman" w:cs="Times New Roman" w:hint="eastAsia"/>
          <w:sz w:val="32"/>
          <w:szCs w:val="32"/>
        </w:rPr>
        <w:t>）、芯片级封装（</w:t>
      </w:r>
      <w:r>
        <w:rPr>
          <w:rFonts w:ascii="Times New Roman" w:eastAsia="方正仿宋_GBK" w:hAnsi="Times New Roman" w:cs="Times New Roman" w:hint="eastAsia"/>
          <w:sz w:val="32"/>
          <w:szCs w:val="32"/>
        </w:rPr>
        <w:t>CSP</w:t>
      </w:r>
      <w:r>
        <w:rPr>
          <w:rFonts w:ascii="Times New Roman" w:eastAsia="方正仿宋_GBK" w:hAnsi="Times New Roman" w:cs="Times New Roman" w:hint="eastAsia"/>
          <w:sz w:val="32"/>
          <w:szCs w:val="32"/>
        </w:rPr>
        <w:t>）、圆片级封装（</w:t>
      </w:r>
      <w:r>
        <w:rPr>
          <w:rFonts w:ascii="Times New Roman" w:eastAsia="方正仿宋_GBK" w:hAnsi="Times New Roman" w:cs="Times New Roman" w:hint="eastAsia"/>
          <w:sz w:val="32"/>
          <w:szCs w:val="32"/>
        </w:rPr>
        <w:t>WLP</w:t>
      </w:r>
      <w:r>
        <w:rPr>
          <w:rFonts w:ascii="Times New Roman" w:eastAsia="方正仿宋_GBK" w:hAnsi="Times New Roman" w:cs="Times New Roman" w:hint="eastAsia"/>
          <w:sz w:val="32"/>
          <w:szCs w:val="32"/>
        </w:rPr>
        <w:t>）、多芯片封装（</w:t>
      </w:r>
      <w:r>
        <w:rPr>
          <w:rFonts w:ascii="Times New Roman" w:eastAsia="方正仿宋_GBK" w:hAnsi="Times New Roman" w:cs="Times New Roman" w:hint="eastAsia"/>
          <w:sz w:val="32"/>
          <w:szCs w:val="32"/>
        </w:rPr>
        <w:t>MCP</w:t>
      </w:r>
      <w:r>
        <w:rPr>
          <w:rFonts w:ascii="Times New Roman" w:eastAsia="方正仿宋_GBK" w:hAnsi="Times New Roman" w:cs="Times New Roman" w:hint="eastAsia"/>
          <w:sz w:val="32"/>
          <w:szCs w:val="32"/>
        </w:rPr>
        <w:t>）、穿透硅通孔（</w:t>
      </w:r>
      <w:r>
        <w:rPr>
          <w:rFonts w:ascii="Times New Roman" w:eastAsia="方正仿宋_GBK" w:hAnsi="Times New Roman" w:cs="Times New Roman" w:hint="eastAsia"/>
          <w:sz w:val="32"/>
          <w:szCs w:val="32"/>
        </w:rPr>
        <w:t>TSV</w:t>
      </w:r>
      <w:r>
        <w:rPr>
          <w:rFonts w:ascii="Times New Roman" w:eastAsia="方正仿宋_GBK" w:hAnsi="Times New Roman" w:cs="Times New Roman" w:hint="eastAsia"/>
          <w:sz w:val="32"/>
          <w:szCs w:val="32"/>
        </w:rPr>
        <w:t>）、三维（</w:t>
      </w:r>
      <w:r>
        <w:rPr>
          <w:rFonts w:ascii="Times New Roman" w:eastAsia="方正仿宋_GBK" w:hAnsi="Times New Roman" w:cs="Times New Roman" w:hint="eastAsia"/>
          <w:sz w:val="32"/>
          <w:szCs w:val="32"/>
        </w:rPr>
        <w:t>3D</w:t>
      </w:r>
      <w:r>
        <w:rPr>
          <w:rFonts w:ascii="Times New Roman" w:eastAsia="方正仿宋_GBK" w:hAnsi="Times New Roman" w:cs="Times New Roman" w:hint="eastAsia"/>
          <w:sz w:val="32"/>
          <w:szCs w:val="32"/>
        </w:rPr>
        <w:t>）堆叠封装、数模混合系统级封装等先进封装和测试技术的开发与制造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薄膜场效应晶体管</w:t>
      </w:r>
      <w:r>
        <w:rPr>
          <w:rFonts w:ascii="Times New Roman" w:eastAsia="方正仿宋_GBK" w:hAnsi="Times New Roman" w:cs="Times New Roman" w:hint="eastAsia"/>
          <w:sz w:val="32"/>
          <w:szCs w:val="32"/>
        </w:rPr>
        <w:t>LCD</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TFT-LCD</w:t>
      </w:r>
      <w:r>
        <w:rPr>
          <w:rFonts w:ascii="Times New Roman" w:eastAsia="方正仿宋_GBK" w:hAnsi="Times New Roman" w:cs="Times New Roman" w:hint="eastAsia"/>
          <w:sz w:val="32"/>
          <w:szCs w:val="32"/>
        </w:rPr>
        <w:t>）、有机发光二极管（</w:t>
      </w:r>
      <w:r>
        <w:rPr>
          <w:rFonts w:ascii="Times New Roman" w:eastAsia="方正仿宋_GBK" w:hAnsi="Times New Roman" w:cs="Times New Roman" w:hint="eastAsia"/>
          <w:sz w:val="32"/>
          <w:szCs w:val="32"/>
        </w:rPr>
        <w:t>OLED</w:t>
      </w:r>
      <w:r>
        <w:rPr>
          <w:rFonts w:ascii="Times New Roman" w:eastAsia="方正仿宋_GBK" w:hAnsi="Times New Roman" w:cs="Times New Roman" w:hint="eastAsia"/>
          <w:sz w:val="32"/>
          <w:szCs w:val="32"/>
        </w:rPr>
        <w:t>）、激光显示、</w:t>
      </w:r>
      <w:r>
        <w:rPr>
          <w:rFonts w:ascii="Times New Roman" w:eastAsia="方正仿宋_GBK" w:hAnsi="Times New Roman" w:cs="Times New Roman" w:hint="eastAsia"/>
          <w:sz w:val="32"/>
          <w:szCs w:val="32"/>
        </w:rPr>
        <w:t>3D</w:t>
      </w:r>
      <w:r>
        <w:rPr>
          <w:rFonts w:ascii="Times New Roman" w:eastAsia="方正仿宋_GBK" w:hAnsi="Times New Roman" w:cs="Times New Roman" w:hint="eastAsia"/>
          <w:sz w:val="32"/>
          <w:szCs w:val="32"/>
        </w:rPr>
        <w:t>显示、柔性显示、全息投影显示等新型平板显示器件及关键部件和材料的开发与制造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13.TFT-LCD</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OLED</w:t>
      </w:r>
      <w:r>
        <w:rPr>
          <w:rFonts w:ascii="Times New Roman" w:eastAsia="方正仿宋_GBK" w:hAnsi="Times New Roman" w:cs="Times New Roman" w:hint="eastAsia"/>
          <w:sz w:val="32"/>
          <w:szCs w:val="32"/>
        </w:rPr>
        <w:t>、激光显示、</w:t>
      </w:r>
      <w:r>
        <w:rPr>
          <w:rFonts w:ascii="Times New Roman" w:eastAsia="方正仿宋_GBK" w:hAnsi="Times New Roman" w:cs="Times New Roman" w:hint="eastAsia"/>
          <w:sz w:val="32"/>
          <w:szCs w:val="32"/>
        </w:rPr>
        <w:t>3D</w:t>
      </w:r>
      <w:r>
        <w:rPr>
          <w:rFonts w:ascii="Times New Roman" w:eastAsia="方正仿宋_GBK" w:hAnsi="Times New Roman" w:cs="Times New Roman" w:hint="eastAsia"/>
          <w:sz w:val="32"/>
          <w:szCs w:val="32"/>
        </w:rPr>
        <w:t>显示、柔性显示、全息投影显示等新型平板显示器件生产专用设备的开发与制造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14.</w:t>
      </w:r>
      <w:r>
        <w:rPr>
          <w:rFonts w:ascii="Times New Roman" w:eastAsia="方正仿宋_GBK" w:hAnsi="Times New Roman" w:cs="Times New Roman" w:hint="eastAsia"/>
          <w:sz w:val="32"/>
          <w:szCs w:val="32"/>
        </w:rPr>
        <w:t>新型电子元器件（片式元器件、频率元器件、混合集成电路、电力电子器件、光电子器件、储能器件、敏感元器件及传感器、新型机电元件、高密度互连印制电路板、柔性多层印制电路板等）的开发与制造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 xml:space="preserve">5. </w:t>
      </w:r>
      <w:r>
        <w:rPr>
          <w:rFonts w:ascii="Times New Roman" w:eastAsia="方正仿宋_GBK" w:hAnsi="Times New Roman" w:cs="Times New Roman" w:hint="eastAsia"/>
          <w:sz w:val="32"/>
          <w:szCs w:val="32"/>
        </w:rPr>
        <w:t>工业计算机、大型计算机、自主设计的便携式微型计算机的开发与制造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 xml:space="preserve">6. </w:t>
      </w:r>
      <w:r>
        <w:rPr>
          <w:rFonts w:ascii="Times New Roman" w:eastAsia="方正仿宋_GBK" w:hAnsi="Times New Roman" w:cs="Times New Roman" w:hint="eastAsia"/>
          <w:sz w:val="32"/>
          <w:szCs w:val="32"/>
        </w:rPr>
        <w:t>信息通信网络接入、传输、交换设备和产品、智能终端的开发与制造</w:t>
      </w:r>
    </w:p>
    <w:p w:rsidR="00486C8E" w:rsidRDefault="000A1919">
      <w:pPr>
        <w:spacing w:line="590"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二、高端软件和信息服务业</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1</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大数据处理、分析、可视化软件和硬件支撑平台等产品开发与产业化，大数据中心和公共平台建设与应用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超低功率云存储系统等核心云基础设备的开发与制造，云计算资源管理平台建设</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网络信息安全技术产品开发与制造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信息系统集成、信息技术咨询设计和运营平台建设</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基于人工智能的计算机视听觉、生物特征识别、新型人机交互、智能决策控制等应用技术开发与产业化，人工智能海量训练资源库和基础资源服务公共平台建设，智能家居、智能汽车、智能无人系统、智能安防、智慧健康、智能可穿戴设备等技术开发与制造</w:t>
      </w:r>
    </w:p>
    <w:p w:rsidR="00486C8E" w:rsidRDefault="000A1919">
      <w:pPr>
        <w:spacing w:line="590"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三、生物技术和新医药产业</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22</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现代基因工程药物、抗体药物、核酸药物、新型疫苗、免疫治疗药物等技术集成开发和新产品研制生产，采用现代生物工程技术的新型药物生产，细胞治疗产品的研究</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肿瘤、心脑血管疾病、肝炎、感染性疾病、糖尿病、免疫系统疾病、神经退行性疾病等重大常见疾病药物的开发与制造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小分子药物、靶向药物和精准治疗、药物发现、药物设计、药物分析、药效及安全性评价、药代动力学等技术的开发与应用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源于经典名方的传统中药、源于临床确有疗效的验方、源于中药和天然药物资源的功效物质明确的现代中药、中药大品</w:t>
      </w:r>
      <w:r>
        <w:rPr>
          <w:rFonts w:ascii="Times New Roman" w:eastAsia="方正仿宋_GBK" w:hAnsi="Times New Roman" w:cs="Times New Roman" w:hint="eastAsia"/>
          <w:sz w:val="32"/>
          <w:szCs w:val="32"/>
        </w:rPr>
        <w:lastRenderedPageBreak/>
        <w:t>种的二次开发、中药配方颗粒与标准提取物的生产制造的开发与产业化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高端医疗设备（正电子发射计算机断层显像（</w:t>
      </w:r>
      <w:r>
        <w:rPr>
          <w:rFonts w:ascii="Times New Roman" w:eastAsia="方正仿宋_GBK" w:hAnsi="Times New Roman" w:cs="Times New Roman" w:hint="eastAsia"/>
          <w:sz w:val="32"/>
          <w:szCs w:val="32"/>
        </w:rPr>
        <w:t>PET-CT</w:t>
      </w:r>
      <w:r>
        <w:rPr>
          <w:rFonts w:ascii="Times New Roman" w:eastAsia="方正仿宋_GBK" w:hAnsi="Times New Roman" w:cs="Times New Roman" w:hint="eastAsia"/>
          <w:sz w:val="32"/>
          <w:szCs w:val="32"/>
        </w:rPr>
        <w:t>）、核磁共振等）及其配套关键零部件的开发与制造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快速诊断技术以及微阵列芯片、高通量低成本基因测序仪、基因编辑设备和试剂等产品的开发与制造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人工器官、体外循环系统、生物支架材料、组织工程、生物可吸收可降解材料等医用生物材料及植（介）入产品的开发与制造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智能、精准医疗设备及其软件和配套试剂，全方位远程医疗服务平台和终端设备，数字医疗系统和保健康复等产品的开发与产业化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优质高产、营养高效、抗逆性品种、抗病虫害、安全性高的转基因新品种作物的开发</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核糖核酸（</w:t>
      </w:r>
      <w:r>
        <w:rPr>
          <w:rFonts w:ascii="Times New Roman" w:eastAsia="方正仿宋_GBK" w:hAnsi="Times New Roman" w:cs="Times New Roman" w:hint="eastAsia"/>
          <w:sz w:val="32"/>
          <w:szCs w:val="32"/>
        </w:rPr>
        <w:t>RNA</w:t>
      </w:r>
      <w:r>
        <w:rPr>
          <w:rFonts w:ascii="Times New Roman" w:eastAsia="方正仿宋_GBK" w:hAnsi="Times New Roman" w:cs="Times New Roman" w:hint="eastAsia"/>
          <w:sz w:val="32"/>
          <w:szCs w:val="32"/>
        </w:rPr>
        <w:t>）干扰精准控害、植物诱导免疫、动物疫苗与生物治疗制剂、抗体工程与分子诊断试剂等技术的开发与应用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32</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分子改良与高分泌表达、养分高效活化利用、微生物功能调控等技术的开发与应用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基础化工产品的生物法生产与应用，生物基材料和氨基酸、维生素等大宗发酵产品的规模化生产</w:t>
      </w:r>
    </w:p>
    <w:p w:rsidR="00486C8E" w:rsidRDefault="000A1919">
      <w:pPr>
        <w:spacing w:line="590"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四、新材料产业</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3</w:t>
      </w: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超超临界火电机组用特钢、高速列车和风电机组等重大装备用轴承钢、变压器和电机用超低铁损高硅电工钢、新一代核电装备用特殊钢及其锻件、高性能耐磨钢与高速工具钢、海工装备高抗腐性特种钢的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通用塑料改性用材料、新型结构功能一体化改性塑料、阻燃改性塑料、农作物纤维复合材料、汽车轻量化热塑性复合材料、新型聚氨酯材料、特种聚酰胺材料、氟树脂、氟橡胶、新型阻燃粘结剂和密封材料、新型聚烯烃树脂、聚苯醚类树脂、新型特种聚酰胺树脂的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高强韧铝合金、高温钛合金、高强韧耐热镁合金等轻质合金材料的开发与产业化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特种玻璃、高性能玻璃纤维、玄武岩纤维、高纯度石英材料、高性能摩擦材料、绿色新型耐火材料、环境友好墙体材料、无机防火保温材料等开发与产业化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高性能碳纤维及其复合材料、碳化硅纤维及其复合材料、超高分子量聚乙烯纤维及其复合材料、高性能芳纶纤维及其复合材料、高性能纤维</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树脂复合材料的高效低成本成型技术、高效自动化成型技术、低温固化及新型固化成型技术开发与产业化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新型高温合金、高品质低偏析母合金冶炼技术、高温合金复杂薄壁部件精密铸造技术、单晶叶片高效定向凝固技术、航空和地面燃机用新一代单晶、粉末高温合金、无铼或低铼高性能高温合金等开发与产业化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40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生物功能和仿生分离膜、水处理膜、气体分离膜、特种分离膜、离子交换膜等功能膜材料开发与产业化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高性能稀土永磁材料、高光效稀土发光材料、高端稀土催化材料及器件、高能量密度、低成本稀土储氢材料、稀土高效分离提纯技术等共性关键技术开发与产业化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英寸</w:t>
      </w: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英寸集成电路硅片、硅单晶片及外延层、化合物半导体材料（含稀土化合物）、高端电子固体胶、掩膜板、高纯化学试剂（含清洗液、刻蚀液、掺杂剂）、抛光材料、靶材、先进光刻胶材料以及相关的辅助试剂、引线框架、封装基板、键合丝（含浆料）、先进封装测试材料、第三代半导体材料、蓝宝石衬底材料、高纯金属有机源（</w:t>
      </w:r>
      <w:r>
        <w:rPr>
          <w:rFonts w:ascii="Times New Roman" w:eastAsia="方正仿宋_GBK" w:hAnsi="Times New Roman" w:cs="Times New Roman" w:hint="eastAsia"/>
          <w:sz w:val="32"/>
          <w:szCs w:val="32"/>
        </w:rPr>
        <w:t>MO</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前驱体化学材料、高纯特种气体材料等新一代电子信息材料开发与产业化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功能陶瓷原料粉体、陶瓷基板材料、陶瓷电容器、磁性陶瓷、微波介质陶瓷器件及其配套材料生产与应用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纳米材料、石墨烯等新型二维材料、超材料、仿生与智能材料等前沿新材料的开发与应用</w:t>
      </w:r>
    </w:p>
    <w:p w:rsidR="00486C8E" w:rsidRDefault="000A1919">
      <w:pPr>
        <w:spacing w:line="590"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五、高端装备制造产业</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网络化控制系统、现场总线控制系统（</w:t>
      </w:r>
      <w:r>
        <w:rPr>
          <w:rFonts w:ascii="Times New Roman" w:eastAsia="方正仿宋_GBK" w:hAnsi="Times New Roman" w:cs="Times New Roman" w:hint="eastAsia"/>
          <w:sz w:val="32"/>
          <w:szCs w:val="32"/>
        </w:rPr>
        <w:t>FCS</w:t>
      </w:r>
      <w:r>
        <w:rPr>
          <w:rFonts w:ascii="Times New Roman" w:eastAsia="方正仿宋_GBK" w:hAnsi="Times New Roman" w:cs="Times New Roman" w:hint="eastAsia"/>
          <w:sz w:val="32"/>
          <w:szCs w:val="32"/>
        </w:rPr>
        <w:t>）、以工业</w:t>
      </w:r>
      <w:r>
        <w:rPr>
          <w:rFonts w:ascii="Times New Roman" w:eastAsia="方正仿宋_GBK" w:hAnsi="Times New Roman" w:cs="Times New Roman" w:hint="eastAsia"/>
          <w:sz w:val="32"/>
          <w:szCs w:val="32"/>
        </w:rPr>
        <w:t>PC</w:t>
      </w:r>
      <w:r>
        <w:rPr>
          <w:rFonts w:ascii="Times New Roman" w:eastAsia="方正仿宋_GBK" w:hAnsi="Times New Roman" w:cs="Times New Roman" w:hint="eastAsia"/>
          <w:sz w:val="32"/>
          <w:szCs w:val="32"/>
        </w:rPr>
        <w:t>为基础的开放式控制系统等新一代主控系统装置的开发与制造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柔性制造生产线等智能成套装备制造与应用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机器人及伺服电机、精密减速器、伺服驱动器、末端执行器、传感器等关键部件的开发与制造，工业机器人成套系统开</w:t>
      </w:r>
      <w:r>
        <w:rPr>
          <w:rFonts w:ascii="Times New Roman" w:eastAsia="方正仿宋_GBK" w:hAnsi="Times New Roman" w:cs="Times New Roman" w:hint="eastAsia"/>
          <w:sz w:val="32"/>
          <w:szCs w:val="32"/>
        </w:rPr>
        <w:lastRenderedPageBreak/>
        <w:t>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.3D</w:t>
      </w:r>
      <w:r>
        <w:rPr>
          <w:rFonts w:ascii="Times New Roman" w:eastAsia="方正仿宋_GBK" w:hAnsi="Times New Roman" w:cs="Times New Roman" w:hint="eastAsia"/>
          <w:sz w:val="32"/>
          <w:szCs w:val="32"/>
        </w:rPr>
        <w:t>打印设备装备、关键零部件和专用材料的开发与制造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高端数控机床以及关键零部件制造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整车制造、牵引传动系统、门系统、列车网络控制系统、牵引传动及控制系统、轴轮及驱动系统、车钩缓冲系统、机车车辆、城轨车辆系统、智能售检票系统、检测系统等轨道交通装置开发与产业化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大型清洁高效发电装备、光伏发电和光热发电装备、新型智能输配电装备制造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大宗粮食和战略性经济作物的育、耕、种、管、收、运、贮等自动化规模化先进农机装备制造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大型石化装备、液化天然气（</w:t>
      </w:r>
      <w:r>
        <w:rPr>
          <w:rFonts w:ascii="Times New Roman" w:eastAsia="方正仿宋_GBK" w:hAnsi="Times New Roman" w:cs="Times New Roman" w:hint="eastAsia"/>
          <w:sz w:val="32"/>
          <w:szCs w:val="32"/>
        </w:rPr>
        <w:t>LNG</w:t>
      </w:r>
      <w:r>
        <w:rPr>
          <w:rFonts w:ascii="Times New Roman" w:eastAsia="方正仿宋_GBK" w:hAnsi="Times New Roman" w:cs="Times New Roman" w:hint="eastAsia"/>
          <w:sz w:val="32"/>
          <w:szCs w:val="32"/>
        </w:rPr>
        <w:t>）储运装备、天然气高效净化装置、涂镀层成套冶金装备制造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大吨位装载机、大型盾构机、大断面岩石掘进机、地下施工机械等大型工程机械制造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55. </w:t>
      </w: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英寸</w:t>
      </w: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英寸集成电路生产线所用的氧化炉、沉积设备、光刻机、刻蚀机、涂胶显影机、离子注入机、退火设备、单晶生长设备、薄膜生长设备、化学机械抛光设备、封装设备、测试设备等集成电路设备的开发与制造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新型元器件、新型显示、电子整机、半导体照明等制造装备和关键仪器仪表开发与制造</w:t>
      </w:r>
    </w:p>
    <w:p w:rsidR="00486C8E" w:rsidRDefault="000A1919">
      <w:pPr>
        <w:spacing w:line="590"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六、节能环保产业</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5</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高效储能装备、洁净煤发电、锅炉排烟潜热回收装备、高效节能工业锅（窑）炉等关键节能技术和装备的开发与制造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半导体照明产品及其智能控制系统技术开发与制造，高效节能运输工具、制动能量回馈系统、数字化岸电系统，以及基于先进信息技术的交通运输系统等先进节能技术的开发与应用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湿式静电除尘器、高效长袋脉冲袋式除尘器、余热利用高效低温电除尘器以及工业挥发性有机废气处理、重型柴油车尾气净化、生活垃圾焚烧尾气净化等先进成套装备制造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60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高浓度难降解工业废水成套处理、高效低耗智能化生活污水处理、重金属废水处理、中水回用、节能型高效污泥安全处置等先进技术和装备及其配套试剂的开发、制造与应用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61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垃圾分选、垃圾填埋渗滤液处理、医疗废弃物处理、工业危险废弃物处理等先进技术和装备的开发与制造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62</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地下水修复技术、土壤修复技术的开发与应用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精细分离、自动分拣、高效提纯以及高附加值精深加工产业综合利用关键技术，快速检测技术和设备、高值化回收利用技术与成套装备的开发与制造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建筑垃圾、餐厨废弃物、废弃电子产品、铅酸蓄电池、电子化学品等的资源化深度综合利用技术、新型再生技术和高附加值产品技术及装备制造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废旧汽车、铁路机车装备、工程机械、矿山机械、机床产品、农业机械、船舶等废旧机电产品及零部件再利用、再制造</w:t>
      </w:r>
    </w:p>
    <w:p w:rsidR="00486C8E" w:rsidRDefault="000A1919">
      <w:pPr>
        <w:spacing w:line="590"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lastRenderedPageBreak/>
        <w:t>七、新能源和能源互联网产业</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高性能太阳能光伏电池及高纯晶体硅材料产业化，太阳能光热发电、光伏发电以及热电联供系统示范</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风电机组技术开发及规模化应用，关键部件及设备制造以及风场管理，风电与其它形式新能源发电互补系统技术开发与产业化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生物质资源收运、成型、气化、发电及供热综合利用装置开发及制造，先进生物质能源与化工技术的开发与应用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核级泵阀、核岛管材、壳内电缆、核级海绵锆等核级关键材料和零部件制造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70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地源热泵、水源热泵设备制造及开发利用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71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能源智能生产技术、能源智能传输技术、能源智能消费技术、智慧能源管理与监管技术的开发与应用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72. </w:t>
      </w:r>
      <w:r>
        <w:rPr>
          <w:rFonts w:ascii="Times New Roman" w:eastAsia="方正仿宋_GBK" w:hAnsi="Times New Roman" w:cs="Times New Roman" w:hint="eastAsia"/>
          <w:sz w:val="32"/>
          <w:szCs w:val="32"/>
        </w:rPr>
        <w:t>大规模制氢、分布式制氢、氢储运材料与技术的开发与应用</w:t>
      </w:r>
    </w:p>
    <w:p w:rsidR="00486C8E" w:rsidRDefault="000A1919">
      <w:pPr>
        <w:spacing w:line="590"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八、新能源汽车产业</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73</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智能网联汽车、高性能新能源汽车及关键零部件的开发与制造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高安全性、长寿命、高能量密度新型锂离子电池等动力电池及其正极材料、负极材料、电池隔膜、电解质等核心材料、燃料电池的开发与产业化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纯电动汽车用驱动电机、传动系统和发动机发电机组</w:t>
      </w:r>
      <w:r>
        <w:rPr>
          <w:rFonts w:ascii="Times New Roman" w:eastAsia="方正仿宋_GBK" w:hAnsi="Times New Roman" w:cs="Times New Roman" w:hint="eastAsia"/>
          <w:sz w:val="32"/>
          <w:szCs w:val="32"/>
        </w:rPr>
        <w:lastRenderedPageBreak/>
        <w:t>（</w:t>
      </w:r>
      <w:r>
        <w:rPr>
          <w:rFonts w:ascii="Times New Roman" w:eastAsia="方正仿宋_GBK" w:hAnsi="Times New Roman" w:cs="Times New Roman" w:hint="eastAsia"/>
          <w:sz w:val="32"/>
          <w:szCs w:val="32"/>
        </w:rPr>
        <w:t>APU</w:t>
      </w:r>
      <w:r>
        <w:rPr>
          <w:rFonts w:ascii="Times New Roman" w:eastAsia="方正仿宋_GBK" w:hAnsi="Times New Roman" w:cs="Times New Roman" w:hint="eastAsia"/>
          <w:sz w:val="32"/>
          <w:szCs w:val="32"/>
        </w:rPr>
        <w:t>），混合动力汽车用发动机</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电机总成（发动机</w:t>
      </w:r>
      <w:r>
        <w:rPr>
          <w:rFonts w:ascii="Times New Roman" w:eastAsia="方正仿宋_GBK" w:hAnsi="Times New Roman" w:cs="Times New Roman" w:hint="eastAsia"/>
          <w:sz w:val="32"/>
          <w:szCs w:val="32"/>
        </w:rPr>
        <w:t>+ISG/BSG</w:t>
      </w:r>
      <w:r>
        <w:rPr>
          <w:rFonts w:ascii="Times New Roman" w:eastAsia="方正仿宋_GBK" w:hAnsi="Times New Roman" w:cs="Times New Roman" w:hint="eastAsia"/>
          <w:sz w:val="32"/>
          <w:szCs w:val="32"/>
        </w:rPr>
        <w:t>）和机电耦合传动总成（电机</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变速箱）等新能源汽车驱动系统的开发与产业化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新能源整车用分布式、高容错和强实时控制系统、高效智能和低噪音电动化总成控制系统、混合动力汽车用发动机先进控制、混合动力系统先进实时控制、多部件间的转矩耦合和动态协调控制等集成控制系统的开发与产业化</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高功率密度、高转换效率、高适应性、移动充电、无线充电等新型充换电技术及装备的开发与制造</w:t>
      </w:r>
    </w:p>
    <w:p w:rsidR="00486C8E" w:rsidRDefault="000A1919">
      <w:pPr>
        <w:spacing w:line="590"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九、空天海洋装备产业</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物探船、桁架式半潜平台、钻井船、浮式生产储卸装置（</w:t>
      </w:r>
      <w:r>
        <w:rPr>
          <w:rFonts w:ascii="Times New Roman" w:eastAsia="方正仿宋_GBK" w:hAnsi="Times New Roman" w:cs="Times New Roman" w:hint="eastAsia"/>
          <w:sz w:val="32"/>
          <w:szCs w:val="32"/>
        </w:rPr>
        <w:t>FPSO</w:t>
      </w:r>
      <w:r>
        <w:rPr>
          <w:rFonts w:ascii="Times New Roman" w:eastAsia="方正仿宋_GBK" w:hAnsi="Times New Roman" w:cs="Times New Roman" w:hint="eastAsia"/>
          <w:sz w:val="32"/>
          <w:szCs w:val="32"/>
        </w:rPr>
        <w:t>）、海洋调查船、半潜运输船、起重铺管船、多功能海洋工程船、无人深潜船等主力海工装备的系列化开发与制造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浮式钻井生产储卸装置、浮式液化天然气储存和再气化装置、深吃水立柱式平台、张力腿平台、海洋极地调查及深远海环境观测探测装备等的开发设计与制造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80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升降锁紧系统、深水锚泊系统、动力定位系统、单点系泊系统、自动控制系统、水下钻井系统、柔性立管等海洋工程装备关键配套系统和设备的开发与制造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81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万吨级以上化学品船、大型液化石油气（</w:t>
      </w:r>
      <w:r>
        <w:rPr>
          <w:rFonts w:ascii="Times New Roman" w:eastAsia="方正仿宋_GBK" w:hAnsi="Times New Roman" w:cs="Times New Roman" w:hint="eastAsia"/>
          <w:sz w:val="32"/>
          <w:szCs w:val="32"/>
        </w:rPr>
        <w:t>LPG</w:t>
      </w:r>
      <w:r>
        <w:rPr>
          <w:rFonts w:ascii="Times New Roman" w:eastAsia="方正仿宋_GBK" w:hAnsi="Times New Roman" w:cs="Times New Roman" w:hint="eastAsia"/>
          <w:sz w:val="32"/>
          <w:szCs w:val="32"/>
        </w:rPr>
        <w:t>）和</w:t>
      </w:r>
      <w:r>
        <w:rPr>
          <w:rFonts w:ascii="Times New Roman" w:eastAsia="方正仿宋_GBK" w:hAnsi="Times New Roman" w:cs="Times New Roman" w:hint="eastAsia"/>
          <w:sz w:val="32"/>
          <w:szCs w:val="32"/>
        </w:rPr>
        <w:t>LNG</w:t>
      </w:r>
      <w:r>
        <w:rPr>
          <w:rFonts w:ascii="Times New Roman" w:eastAsia="方正仿宋_GBK" w:hAnsi="Times New Roman" w:cs="Times New Roman" w:hint="eastAsia"/>
          <w:sz w:val="32"/>
          <w:szCs w:val="32"/>
        </w:rPr>
        <w:t>船、大型汽车滚装船、超级生态环保船等运输船舶，海工支持船、海洋资源勘探开发船等工程船舶，海洋执法巡逻舰、水域环境检</w:t>
      </w:r>
      <w:r>
        <w:rPr>
          <w:rFonts w:ascii="Times New Roman" w:eastAsia="方正仿宋_GBK" w:hAnsi="Times New Roman" w:cs="Times New Roman" w:hint="eastAsia"/>
          <w:sz w:val="32"/>
          <w:szCs w:val="32"/>
        </w:rPr>
        <w:lastRenderedPageBreak/>
        <w:t>测治理船等专业工作船舶制造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82</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高端柴油机、智能化电控系统、大型及新型推进装置、高端船用发电设备、高端船用齿轮箱、大型螺旋桨、通讯导航定位系统、电子电控系统等关键船舶配套系统和设备开发与制造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83</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运动休闲船、豪华游艇、豪华邮轮开发与制造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新型航空材料、航空发动机关键部件等航空基础零部件制造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雷达系统、综合航空电子系统、航空机载系统开发</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通用飞机、无人机开发与制造</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卫星地面和应用系统建设及设备制造</w:t>
      </w:r>
    </w:p>
    <w:p w:rsidR="00486C8E" w:rsidRDefault="000A1919">
      <w:pPr>
        <w:spacing w:line="590"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十、数字创意产业</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数字内容产品的开发与应用</w:t>
      </w:r>
    </w:p>
    <w:p w:rsidR="00486C8E" w:rsidRDefault="000A191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虚拟现实、增强现实等数字技术和新型可穿戴智能装备、沉浸式体验平台等数字装备的开发与制造</w:t>
      </w:r>
    </w:p>
    <w:sectPr w:rsidR="00486C8E" w:rsidSect="00486C8E">
      <w:footerReference w:type="default" r:id="rId8"/>
      <w:pgSz w:w="11906" w:h="16838"/>
      <w:pgMar w:top="1814" w:right="1531" w:bottom="1985" w:left="1531"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25C3" w:rsidRDefault="009E25C3" w:rsidP="00486C8E">
      <w:r>
        <w:separator/>
      </w:r>
    </w:p>
  </w:endnote>
  <w:endnote w:type="continuationSeparator" w:id="1">
    <w:p w:rsidR="009E25C3" w:rsidRDefault="009E25C3" w:rsidP="00486C8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73651710"/>
    </w:sdtPr>
    <w:sdtEndPr>
      <w:rPr>
        <w:rFonts w:ascii="Times New Roman" w:hAnsi="Times New Roman" w:cs="Times New Roman"/>
        <w:sz w:val="28"/>
        <w:szCs w:val="28"/>
      </w:rPr>
    </w:sdtEndPr>
    <w:sdtContent>
      <w:p w:rsidR="00486C8E" w:rsidRDefault="000A1919">
        <w:pPr>
          <w:pStyle w:val="a4"/>
          <w:jc w:val="center"/>
          <w:rPr>
            <w:rFonts w:ascii="Times New Roman" w:hAnsi="Times New Roman" w:cs="Times New Roman"/>
            <w:sz w:val="28"/>
            <w:szCs w:val="28"/>
          </w:rPr>
        </w:pPr>
        <w:r>
          <w:rPr>
            <w:rFonts w:ascii="Times New Roman" w:hAnsi="Times New Roman" w:cs="Times New Roman"/>
            <w:sz w:val="28"/>
            <w:szCs w:val="28"/>
          </w:rPr>
          <w:t>—</w:t>
        </w:r>
        <w:r w:rsidR="004D42FD">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sidR="004D42FD">
          <w:rPr>
            <w:rFonts w:ascii="Times New Roman" w:hAnsi="Times New Roman" w:cs="Times New Roman"/>
            <w:sz w:val="28"/>
            <w:szCs w:val="28"/>
          </w:rPr>
          <w:fldChar w:fldCharType="separate"/>
        </w:r>
        <w:r w:rsidR="00B76872" w:rsidRPr="00B76872">
          <w:rPr>
            <w:rFonts w:ascii="Times New Roman" w:hAnsi="Times New Roman" w:cs="Times New Roman"/>
            <w:noProof/>
            <w:sz w:val="28"/>
            <w:szCs w:val="28"/>
            <w:lang w:val="zh-CN"/>
          </w:rPr>
          <w:t>11</w:t>
        </w:r>
        <w:r w:rsidR="004D42FD">
          <w:rPr>
            <w:rFonts w:ascii="Times New Roman" w:hAnsi="Times New Roman" w:cs="Times New Roman"/>
            <w:sz w:val="28"/>
            <w:szCs w:val="28"/>
          </w:rPr>
          <w:fldChar w:fldCharType="end"/>
        </w:r>
        <w:r>
          <w:rPr>
            <w:rFonts w:ascii="Times New Roman" w:hAnsi="Times New Roman" w:cs="Times New Roman"/>
            <w:sz w:val="28"/>
            <w:szCs w:val="28"/>
          </w:rPr>
          <w:t>—</w:t>
        </w:r>
      </w:p>
    </w:sdtContent>
  </w:sdt>
  <w:p w:rsidR="00486C8E" w:rsidRDefault="00486C8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25C3" w:rsidRDefault="009E25C3" w:rsidP="00486C8E">
      <w:r>
        <w:separator/>
      </w:r>
    </w:p>
  </w:footnote>
  <w:footnote w:type="continuationSeparator" w:id="1">
    <w:p w:rsidR="009E25C3" w:rsidRDefault="009E25C3" w:rsidP="00486C8E">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zj">
    <w15:presenceInfo w15:providerId="None" w15:userId="zj"/>
  </w15:person>
  <w15:person w15:author="Administrator">
    <w15:presenceInfo w15:providerId="None" w15:userId="Administrator"/>
  </w15:person>
  <w15:person w15:author="Song Deng">
    <w15:presenceInfo w15:providerId="Windows Live" w15:userId="bbda59ccf3c9b72e"/>
  </w15:person>
  <w15:person w15:author="lenovo">
    <w15:presenceInfo w15:providerId="None" w15:userId="lenovo"/>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trackRevisions/>
  <w:defaultTabStop w:val="420"/>
  <w:drawingGridHorizontalSpacing w:val="105"/>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643CF"/>
    <w:rsid w:val="000420A8"/>
    <w:rsid w:val="000466AF"/>
    <w:rsid w:val="000479AE"/>
    <w:rsid w:val="0005460E"/>
    <w:rsid w:val="00060C24"/>
    <w:rsid w:val="00073519"/>
    <w:rsid w:val="000936DE"/>
    <w:rsid w:val="000938E4"/>
    <w:rsid w:val="00093CFC"/>
    <w:rsid w:val="000A1919"/>
    <w:rsid w:val="000A5510"/>
    <w:rsid w:val="000D106E"/>
    <w:rsid w:val="00120D3B"/>
    <w:rsid w:val="0013199B"/>
    <w:rsid w:val="001341C3"/>
    <w:rsid w:val="00141933"/>
    <w:rsid w:val="00166669"/>
    <w:rsid w:val="001671A0"/>
    <w:rsid w:val="00171D7A"/>
    <w:rsid w:val="00177C96"/>
    <w:rsid w:val="001D2653"/>
    <w:rsid w:val="001E6325"/>
    <w:rsid w:val="001F0C53"/>
    <w:rsid w:val="001F4F24"/>
    <w:rsid w:val="00203300"/>
    <w:rsid w:val="00214976"/>
    <w:rsid w:val="002579FE"/>
    <w:rsid w:val="00260769"/>
    <w:rsid w:val="00267311"/>
    <w:rsid w:val="0028674D"/>
    <w:rsid w:val="00292E9D"/>
    <w:rsid w:val="002A094B"/>
    <w:rsid w:val="002A4B4B"/>
    <w:rsid w:val="002B3222"/>
    <w:rsid w:val="002B3661"/>
    <w:rsid w:val="002F6B28"/>
    <w:rsid w:val="00300D9E"/>
    <w:rsid w:val="00325501"/>
    <w:rsid w:val="0033069F"/>
    <w:rsid w:val="00352B84"/>
    <w:rsid w:val="0035697A"/>
    <w:rsid w:val="003606A9"/>
    <w:rsid w:val="003C1914"/>
    <w:rsid w:val="003C5940"/>
    <w:rsid w:val="003D0325"/>
    <w:rsid w:val="003D7F33"/>
    <w:rsid w:val="00436446"/>
    <w:rsid w:val="00447539"/>
    <w:rsid w:val="00457904"/>
    <w:rsid w:val="00466046"/>
    <w:rsid w:val="0047431B"/>
    <w:rsid w:val="00486C8E"/>
    <w:rsid w:val="004A4FB8"/>
    <w:rsid w:val="004A6196"/>
    <w:rsid w:val="004C5DA5"/>
    <w:rsid w:val="004C7A6E"/>
    <w:rsid w:val="004D2A98"/>
    <w:rsid w:val="004D42FD"/>
    <w:rsid w:val="004D5F76"/>
    <w:rsid w:val="004F1916"/>
    <w:rsid w:val="005020D2"/>
    <w:rsid w:val="0051089B"/>
    <w:rsid w:val="005166E0"/>
    <w:rsid w:val="00530A0C"/>
    <w:rsid w:val="005B107F"/>
    <w:rsid w:val="005B157E"/>
    <w:rsid w:val="005C2A3D"/>
    <w:rsid w:val="005C7970"/>
    <w:rsid w:val="005D0399"/>
    <w:rsid w:val="005D3729"/>
    <w:rsid w:val="005F7041"/>
    <w:rsid w:val="00692097"/>
    <w:rsid w:val="00695945"/>
    <w:rsid w:val="006A4E2B"/>
    <w:rsid w:val="006A7FF7"/>
    <w:rsid w:val="006C61E4"/>
    <w:rsid w:val="006C7840"/>
    <w:rsid w:val="006D5AAF"/>
    <w:rsid w:val="006E0FCD"/>
    <w:rsid w:val="006E75ED"/>
    <w:rsid w:val="006F45C0"/>
    <w:rsid w:val="00700A6F"/>
    <w:rsid w:val="00713607"/>
    <w:rsid w:val="007450F2"/>
    <w:rsid w:val="00746247"/>
    <w:rsid w:val="007535F4"/>
    <w:rsid w:val="00770EDB"/>
    <w:rsid w:val="00796982"/>
    <w:rsid w:val="007D3771"/>
    <w:rsid w:val="007D6CD7"/>
    <w:rsid w:val="007D7BE1"/>
    <w:rsid w:val="007E5E55"/>
    <w:rsid w:val="007F583F"/>
    <w:rsid w:val="007F67E6"/>
    <w:rsid w:val="00801E33"/>
    <w:rsid w:val="008433DA"/>
    <w:rsid w:val="00886EB9"/>
    <w:rsid w:val="008B736B"/>
    <w:rsid w:val="008C43A6"/>
    <w:rsid w:val="008F1C9C"/>
    <w:rsid w:val="009154E8"/>
    <w:rsid w:val="00916A46"/>
    <w:rsid w:val="00917877"/>
    <w:rsid w:val="00940DFD"/>
    <w:rsid w:val="00941A47"/>
    <w:rsid w:val="00945B47"/>
    <w:rsid w:val="00947D66"/>
    <w:rsid w:val="00975E6B"/>
    <w:rsid w:val="00976CBC"/>
    <w:rsid w:val="00980A03"/>
    <w:rsid w:val="00990C82"/>
    <w:rsid w:val="00993CDC"/>
    <w:rsid w:val="009959B2"/>
    <w:rsid w:val="009966BE"/>
    <w:rsid w:val="0099672B"/>
    <w:rsid w:val="009A1A32"/>
    <w:rsid w:val="009A4FC6"/>
    <w:rsid w:val="009A5605"/>
    <w:rsid w:val="009B605C"/>
    <w:rsid w:val="009C3B87"/>
    <w:rsid w:val="009D41BB"/>
    <w:rsid w:val="009D747A"/>
    <w:rsid w:val="009E25C3"/>
    <w:rsid w:val="00A0095B"/>
    <w:rsid w:val="00A13670"/>
    <w:rsid w:val="00A3473F"/>
    <w:rsid w:val="00A606D7"/>
    <w:rsid w:val="00A845C8"/>
    <w:rsid w:val="00AA0786"/>
    <w:rsid w:val="00AD094C"/>
    <w:rsid w:val="00AD202A"/>
    <w:rsid w:val="00B06E2A"/>
    <w:rsid w:val="00B10A7E"/>
    <w:rsid w:val="00B20E87"/>
    <w:rsid w:val="00B46A6C"/>
    <w:rsid w:val="00B60F6B"/>
    <w:rsid w:val="00B61FF7"/>
    <w:rsid w:val="00B65C4D"/>
    <w:rsid w:val="00B76489"/>
    <w:rsid w:val="00B76872"/>
    <w:rsid w:val="00B81AFD"/>
    <w:rsid w:val="00B83F0A"/>
    <w:rsid w:val="00B8458E"/>
    <w:rsid w:val="00B93774"/>
    <w:rsid w:val="00B97C83"/>
    <w:rsid w:val="00BA628C"/>
    <w:rsid w:val="00BC6DFD"/>
    <w:rsid w:val="00BE6B16"/>
    <w:rsid w:val="00BF0AF3"/>
    <w:rsid w:val="00BF520A"/>
    <w:rsid w:val="00C00B72"/>
    <w:rsid w:val="00C04DD2"/>
    <w:rsid w:val="00C17FDC"/>
    <w:rsid w:val="00C4013B"/>
    <w:rsid w:val="00C40698"/>
    <w:rsid w:val="00C43DAE"/>
    <w:rsid w:val="00C5125C"/>
    <w:rsid w:val="00C65E8F"/>
    <w:rsid w:val="00C945A6"/>
    <w:rsid w:val="00C969CA"/>
    <w:rsid w:val="00CB7116"/>
    <w:rsid w:val="00D10CB0"/>
    <w:rsid w:val="00D125C4"/>
    <w:rsid w:val="00D17AF1"/>
    <w:rsid w:val="00D22AC9"/>
    <w:rsid w:val="00D245E5"/>
    <w:rsid w:val="00D67CB4"/>
    <w:rsid w:val="00D9339E"/>
    <w:rsid w:val="00DC059A"/>
    <w:rsid w:val="00DC603C"/>
    <w:rsid w:val="00DC6936"/>
    <w:rsid w:val="00DD66C4"/>
    <w:rsid w:val="00DE71FE"/>
    <w:rsid w:val="00DE790E"/>
    <w:rsid w:val="00E013F8"/>
    <w:rsid w:val="00E036A6"/>
    <w:rsid w:val="00E42F84"/>
    <w:rsid w:val="00E46D19"/>
    <w:rsid w:val="00E56920"/>
    <w:rsid w:val="00E643CF"/>
    <w:rsid w:val="00E66BEE"/>
    <w:rsid w:val="00E80EE2"/>
    <w:rsid w:val="00E84259"/>
    <w:rsid w:val="00EA1400"/>
    <w:rsid w:val="00EA6C74"/>
    <w:rsid w:val="00EB5148"/>
    <w:rsid w:val="00EC599C"/>
    <w:rsid w:val="00ED4573"/>
    <w:rsid w:val="00EE0AAB"/>
    <w:rsid w:val="00EE1251"/>
    <w:rsid w:val="00EF0925"/>
    <w:rsid w:val="00EF47B8"/>
    <w:rsid w:val="00F03321"/>
    <w:rsid w:val="00F24C4D"/>
    <w:rsid w:val="00F2601E"/>
    <w:rsid w:val="00F27EC3"/>
    <w:rsid w:val="00F3014F"/>
    <w:rsid w:val="00F40821"/>
    <w:rsid w:val="00F75004"/>
    <w:rsid w:val="00F8781E"/>
    <w:rsid w:val="00FE25E7"/>
    <w:rsid w:val="00FF2BEE"/>
    <w:rsid w:val="34551B63"/>
    <w:rsid w:val="38FB53BF"/>
    <w:rsid w:val="4E58795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qFormat="1"/>
    <w:lsdException w:name="toc 4" w:semiHidden="0" w:uiPriority="39" w:qFormat="1"/>
    <w:lsdException w:name="toc 5" w:semiHidden="0" w:uiPriority="39"/>
    <w:lsdException w:name="toc 6" w:semiHidden="0" w:uiPriority="39" w:qFormat="1"/>
    <w:lsdException w:name="toc 7" w:semiHidden="0" w:uiPriority="39" w:qFormat="1"/>
    <w:lsdException w:name="toc 8" w:semiHidden="0" w:uiPriority="39" w:qFormat="1"/>
    <w:lsdException w:name="toc 9" w:semiHidden="0" w:uiPriority="39" w:qFormat="1"/>
    <w:lsdException w:name="footnote text" w:qFormat="1"/>
    <w:lsdException w:name="header" w:semiHidden="0"/>
    <w:lsdException w:name="footer" w:semiHidden="0"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6C8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rsid w:val="00486C8E"/>
    <w:pPr>
      <w:ind w:leftChars="1200" w:left="2520"/>
    </w:pPr>
  </w:style>
  <w:style w:type="paragraph" w:styleId="5">
    <w:name w:val="toc 5"/>
    <w:basedOn w:val="a"/>
    <w:next w:val="a"/>
    <w:uiPriority w:val="39"/>
    <w:unhideWhenUsed/>
    <w:rsid w:val="00486C8E"/>
    <w:pPr>
      <w:ind w:leftChars="800" w:left="1680"/>
    </w:pPr>
  </w:style>
  <w:style w:type="paragraph" w:styleId="3">
    <w:name w:val="toc 3"/>
    <w:basedOn w:val="a"/>
    <w:next w:val="a"/>
    <w:uiPriority w:val="39"/>
    <w:unhideWhenUsed/>
    <w:qFormat/>
    <w:rsid w:val="00486C8E"/>
    <w:pPr>
      <w:ind w:leftChars="400" w:left="840"/>
    </w:pPr>
  </w:style>
  <w:style w:type="paragraph" w:styleId="8">
    <w:name w:val="toc 8"/>
    <w:basedOn w:val="a"/>
    <w:next w:val="a"/>
    <w:uiPriority w:val="39"/>
    <w:unhideWhenUsed/>
    <w:qFormat/>
    <w:rsid w:val="00486C8E"/>
    <w:pPr>
      <w:ind w:leftChars="1400" w:left="2940"/>
    </w:pPr>
  </w:style>
  <w:style w:type="paragraph" w:styleId="a3">
    <w:name w:val="Balloon Text"/>
    <w:basedOn w:val="a"/>
    <w:link w:val="Char"/>
    <w:uiPriority w:val="99"/>
    <w:semiHidden/>
    <w:unhideWhenUsed/>
    <w:qFormat/>
    <w:rsid w:val="00486C8E"/>
    <w:rPr>
      <w:sz w:val="18"/>
      <w:szCs w:val="18"/>
    </w:rPr>
  </w:style>
  <w:style w:type="paragraph" w:styleId="a4">
    <w:name w:val="footer"/>
    <w:basedOn w:val="a"/>
    <w:link w:val="Char0"/>
    <w:uiPriority w:val="99"/>
    <w:unhideWhenUsed/>
    <w:qFormat/>
    <w:rsid w:val="00486C8E"/>
    <w:pPr>
      <w:tabs>
        <w:tab w:val="center" w:pos="4153"/>
        <w:tab w:val="right" w:pos="8306"/>
      </w:tabs>
      <w:snapToGrid w:val="0"/>
      <w:jc w:val="left"/>
    </w:pPr>
    <w:rPr>
      <w:sz w:val="18"/>
      <w:szCs w:val="18"/>
    </w:rPr>
  </w:style>
  <w:style w:type="paragraph" w:styleId="a5">
    <w:name w:val="header"/>
    <w:basedOn w:val="a"/>
    <w:link w:val="Char1"/>
    <w:uiPriority w:val="99"/>
    <w:unhideWhenUsed/>
    <w:rsid w:val="00486C8E"/>
    <w:pPr>
      <w:pBdr>
        <w:bottom w:val="single" w:sz="6" w:space="1" w:color="auto"/>
      </w:pBdr>
      <w:tabs>
        <w:tab w:val="center" w:pos="4153"/>
        <w:tab w:val="right" w:pos="8306"/>
      </w:tabs>
      <w:snapToGrid w:val="0"/>
      <w:jc w:val="center"/>
    </w:pPr>
    <w:rPr>
      <w:sz w:val="18"/>
      <w:szCs w:val="18"/>
    </w:rPr>
  </w:style>
  <w:style w:type="paragraph" w:styleId="1">
    <w:name w:val="toc 1"/>
    <w:basedOn w:val="a"/>
    <w:next w:val="a"/>
    <w:uiPriority w:val="39"/>
    <w:unhideWhenUsed/>
    <w:qFormat/>
    <w:rsid w:val="00486C8E"/>
    <w:pPr>
      <w:tabs>
        <w:tab w:val="right" w:leader="dot" w:pos="8296"/>
      </w:tabs>
      <w:jc w:val="center"/>
    </w:pPr>
    <w:rPr>
      <w:rFonts w:ascii="方正楷体_GBK" w:eastAsia="方正楷体_GBK" w:hAnsi="Times New Roman" w:cs="Times New Roman"/>
      <w:sz w:val="32"/>
      <w:szCs w:val="32"/>
    </w:rPr>
  </w:style>
  <w:style w:type="paragraph" w:styleId="4">
    <w:name w:val="toc 4"/>
    <w:basedOn w:val="a"/>
    <w:next w:val="a"/>
    <w:uiPriority w:val="39"/>
    <w:unhideWhenUsed/>
    <w:qFormat/>
    <w:rsid w:val="00486C8E"/>
    <w:pPr>
      <w:ind w:leftChars="600" w:left="1260"/>
    </w:pPr>
  </w:style>
  <w:style w:type="paragraph" w:styleId="a6">
    <w:name w:val="footnote text"/>
    <w:basedOn w:val="a"/>
    <w:link w:val="Char2"/>
    <w:uiPriority w:val="99"/>
    <w:semiHidden/>
    <w:unhideWhenUsed/>
    <w:qFormat/>
    <w:rsid w:val="00486C8E"/>
    <w:pPr>
      <w:snapToGrid w:val="0"/>
      <w:jc w:val="left"/>
    </w:pPr>
    <w:rPr>
      <w:sz w:val="18"/>
      <w:szCs w:val="18"/>
    </w:rPr>
  </w:style>
  <w:style w:type="paragraph" w:styleId="6">
    <w:name w:val="toc 6"/>
    <w:basedOn w:val="a"/>
    <w:next w:val="a"/>
    <w:uiPriority w:val="39"/>
    <w:unhideWhenUsed/>
    <w:qFormat/>
    <w:rsid w:val="00486C8E"/>
    <w:pPr>
      <w:ind w:leftChars="1000" w:left="2100"/>
    </w:pPr>
  </w:style>
  <w:style w:type="paragraph" w:styleId="2">
    <w:name w:val="toc 2"/>
    <w:basedOn w:val="a"/>
    <w:next w:val="a"/>
    <w:uiPriority w:val="39"/>
    <w:unhideWhenUsed/>
    <w:rsid w:val="00486C8E"/>
    <w:pPr>
      <w:ind w:leftChars="200" w:left="420"/>
    </w:pPr>
  </w:style>
  <w:style w:type="paragraph" w:styleId="9">
    <w:name w:val="toc 9"/>
    <w:basedOn w:val="a"/>
    <w:next w:val="a"/>
    <w:uiPriority w:val="39"/>
    <w:unhideWhenUsed/>
    <w:qFormat/>
    <w:rsid w:val="00486C8E"/>
    <w:pPr>
      <w:ind w:leftChars="1600" w:left="3360"/>
    </w:pPr>
  </w:style>
  <w:style w:type="character" w:styleId="a7">
    <w:name w:val="Hyperlink"/>
    <w:basedOn w:val="a0"/>
    <w:uiPriority w:val="99"/>
    <w:unhideWhenUsed/>
    <w:qFormat/>
    <w:rsid w:val="00486C8E"/>
    <w:rPr>
      <w:color w:val="0000FF" w:themeColor="hyperlink"/>
      <w:u w:val="single"/>
    </w:rPr>
  </w:style>
  <w:style w:type="character" w:styleId="a8">
    <w:name w:val="footnote reference"/>
    <w:basedOn w:val="a0"/>
    <w:uiPriority w:val="99"/>
    <w:semiHidden/>
    <w:unhideWhenUsed/>
    <w:qFormat/>
    <w:rsid w:val="00486C8E"/>
    <w:rPr>
      <w:vertAlign w:val="superscript"/>
    </w:rPr>
  </w:style>
  <w:style w:type="paragraph" w:styleId="a9">
    <w:name w:val="List Paragraph"/>
    <w:basedOn w:val="a"/>
    <w:uiPriority w:val="34"/>
    <w:qFormat/>
    <w:rsid w:val="00486C8E"/>
    <w:pPr>
      <w:ind w:firstLineChars="200" w:firstLine="420"/>
    </w:pPr>
  </w:style>
  <w:style w:type="character" w:customStyle="1" w:styleId="Char1">
    <w:name w:val="页眉 Char"/>
    <w:basedOn w:val="a0"/>
    <w:link w:val="a5"/>
    <w:uiPriority w:val="99"/>
    <w:rsid w:val="00486C8E"/>
    <w:rPr>
      <w:sz w:val="18"/>
      <w:szCs w:val="18"/>
    </w:rPr>
  </w:style>
  <w:style w:type="character" w:customStyle="1" w:styleId="Char0">
    <w:name w:val="页脚 Char"/>
    <w:basedOn w:val="a0"/>
    <w:link w:val="a4"/>
    <w:uiPriority w:val="99"/>
    <w:qFormat/>
    <w:rsid w:val="00486C8E"/>
    <w:rPr>
      <w:sz w:val="18"/>
      <w:szCs w:val="18"/>
    </w:rPr>
  </w:style>
  <w:style w:type="paragraph" w:customStyle="1" w:styleId="20">
    <w:name w:val="标题2"/>
    <w:basedOn w:val="a"/>
    <w:next w:val="a"/>
    <w:link w:val="2Char"/>
    <w:rsid w:val="00486C8E"/>
    <w:pPr>
      <w:autoSpaceDE w:val="0"/>
      <w:autoSpaceDN w:val="0"/>
      <w:snapToGrid w:val="0"/>
      <w:spacing w:line="590" w:lineRule="atLeast"/>
      <w:jc w:val="center"/>
    </w:pPr>
    <w:rPr>
      <w:rFonts w:ascii="Times New Roman" w:eastAsia="方正楷体_GBK" w:hAnsi="Times New Roman" w:cs="Times New Roman"/>
      <w:snapToGrid w:val="0"/>
      <w:kern w:val="0"/>
      <w:sz w:val="32"/>
      <w:szCs w:val="20"/>
    </w:rPr>
  </w:style>
  <w:style w:type="character" w:customStyle="1" w:styleId="2Char">
    <w:name w:val="标题2 Char"/>
    <w:link w:val="20"/>
    <w:qFormat/>
    <w:rsid w:val="00486C8E"/>
    <w:rPr>
      <w:rFonts w:ascii="Times New Roman" w:eastAsia="方正楷体_GBK" w:hAnsi="Times New Roman" w:cs="Times New Roman"/>
      <w:snapToGrid w:val="0"/>
      <w:kern w:val="0"/>
      <w:sz w:val="32"/>
      <w:szCs w:val="20"/>
    </w:rPr>
  </w:style>
  <w:style w:type="character" w:customStyle="1" w:styleId="Char2">
    <w:name w:val="脚注文本 Char"/>
    <w:basedOn w:val="a0"/>
    <w:link w:val="a6"/>
    <w:uiPriority w:val="99"/>
    <w:semiHidden/>
    <w:qFormat/>
    <w:rsid w:val="00486C8E"/>
    <w:rPr>
      <w:sz w:val="18"/>
      <w:szCs w:val="18"/>
    </w:rPr>
  </w:style>
  <w:style w:type="character" w:customStyle="1" w:styleId="Char">
    <w:name w:val="批注框文本 Char"/>
    <w:basedOn w:val="a0"/>
    <w:link w:val="a3"/>
    <w:uiPriority w:val="99"/>
    <w:semiHidden/>
    <w:qFormat/>
    <w:rsid w:val="00486C8E"/>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1618862-8E82-4650-A6AD-F6B053BEE6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785</Words>
  <Characters>4480</Characters>
  <Application>Microsoft Office Word</Application>
  <DocSecurity>0</DocSecurity>
  <Lines>37</Lines>
  <Paragraphs>10</Paragraphs>
  <ScaleCrop>false</ScaleCrop>
  <Company>china</Company>
  <LinksUpToDate>false</LinksUpToDate>
  <CharactersWithSpaces>5255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李庆华</cp:lastModifiedBy>
  <cp:revision>2</cp:revision>
  <cp:lastPrinted>2018-03-30T01:16:00Z</cp:lastPrinted>
  <dcterms:created xsi:type="dcterms:W3CDTF">2018-04-25T07:51:00Z</dcterms:created>
  <dcterms:modified xsi:type="dcterms:W3CDTF">2018-04-25T07:51:00Z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