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90" w:lineRule="exact"/>
        <w:jc w:val="both"/>
        <w:textAlignment w:val="auto"/>
        <w:rPr>
          <w:rFonts w:ascii="方正小标宋_GBK" w:hAnsi="方正小标宋_GBK" w:eastAsia="方正小标宋_GBK" w:cs="Times New Roman"/>
          <w:sz w:val="44"/>
          <w:szCs w:val="44"/>
        </w:rPr>
      </w:pPr>
    </w:p>
    <w:p>
      <w:pPr>
        <w:keepNext w:val="0"/>
        <w:keepLines w:val="0"/>
        <w:pageBreakBefore w:val="0"/>
        <w:kinsoku/>
        <w:wordWrap/>
        <w:overflowPunct/>
        <w:topLinePunct w:val="0"/>
        <w:autoSpaceDE/>
        <w:autoSpaceDN/>
        <w:bidi w:val="0"/>
        <w:spacing w:line="590" w:lineRule="exact"/>
        <w:jc w:val="both"/>
        <w:textAlignment w:val="auto"/>
        <w:rPr>
          <w:rFonts w:ascii="方正小标宋_GBK" w:hAnsi="方正小标宋_GBK" w:eastAsia="方正小标宋_GBK" w:cs="Times New Roman"/>
          <w:sz w:val="44"/>
          <w:szCs w:val="44"/>
        </w:rPr>
      </w:pPr>
    </w:p>
    <w:p>
      <w:pPr>
        <w:keepNext w:val="0"/>
        <w:keepLines w:val="0"/>
        <w:pageBreakBefore w:val="0"/>
        <w:kinsoku/>
        <w:wordWrap/>
        <w:overflowPunct/>
        <w:topLinePunct w:val="0"/>
        <w:autoSpaceDE/>
        <w:autoSpaceDN/>
        <w:bidi w:val="0"/>
        <w:spacing w:line="590" w:lineRule="exact"/>
        <w:jc w:val="both"/>
        <w:textAlignment w:val="auto"/>
        <w:rPr>
          <w:rFonts w:ascii="方正小标宋_GBK" w:hAnsi="方正小标宋_GBK" w:eastAsia="方正小标宋_GBK" w:cs="Times New Roman"/>
          <w:sz w:val="44"/>
          <w:szCs w:val="44"/>
        </w:rPr>
      </w:pPr>
    </w:p>
    <w:p>
      <w:pPr>
        <w:keepNext w:val="0"/>
        <w:keepLines w:val="0"/>
        <w:pageBreakBefore w:val="0"/>
        <w:kinsoku/>
        <w:wordWrap/>
        <w:overflowPunct/>
        <w:topLinePunct w:val="0"/>
        <w:autoSpaceDE/>
        <w:autoSpaceDN/>
        <w:bidi w:val="0"/>
        <w:spacing w:line="590" w:lineRule="exact"/>
        <w:jc w:val="both"/>
        <w:textAlignment w:val="auto"/>
        <w:rPr>
          <w:rFonts w:ascii="方正小标宋_GBK" w:hAnsi="方正小标宋_GBK" w:eastAsia="方正小标宋_GBK" w:cs="Times New Roman"/>
          <w:sz w:val="44"/>
          <w:szCs w:val="44"/>
        </w:rPr>
      </w:pPr>
    </w:p>
    <w:p>
      <w:pPr>
        <w:keepNext w:val="0"/>
        <w:keepLines w:val="0"/>
        <w:pageBreakBefore w:val="0"/>
        <w:kinsoku/>
        <w:wordWrap/>
        <w:overflowPunct/>
        <w:topLinePunct w:val="0"/>
        <w:autoSpaceDE/>
        <w:autoSpaceDN/>
        <w:bidi w:val="0"/>
        <w:spacing w:line="590" w:lineRule="exact"/>
        <w:jc w:val="both"/>
        <w:textAlignment w:val="auto"/>
        <w:rPr>
          <w:rFonts w:ascii="方正小标宋_GBK" w:hAnsi="方正小标宋_GBK" w:eastAsia="方正小标宋_GBK" w:cs="Times New Roman"/>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Times New Roman"/>
          <w:sz w:val="44"/>
          <w:szCs w:val="44"/>
        </w:rPr>
      </w:pPr>
      <w:r>
        <w:rPr>
          <w:rFonts w:hint="eastAsia" w:ascii="方正小标宋_GBK" w:hAnsi="方正小标宋_GBK" w:eastAsia="方正小标宋_GBK" w:cs="Times New Roman"/>
          <w:sz w:val="44"/>
          <w:szCs w:val="44"/>
        </w:rPr>
        <w:t>关于开展存量常规水电绿证划转工作的通知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楷体_GBK" w:hAnsi="方正楷体_GBK" w:eastAsia="方正楷体_GBK" w:cs="方正楷体_GBK"/>
          <w:sz w:val="44"/>
          <w:szCs w:val="44"/>
          <w:lang w:eastAsia="zh-CN"/>
        </w:rPr>
      </w:pPr>
      <w:r>
        <w:rPr>
          <w:rFonts w:hint="eastAsia" w:ascii="方正楷体_GBK" w:hAnsi="方正楷体_GBK" w:eastAsia="方正楷体_GBK" w:cs="方正楷体_GBK"/>
          <w:sz w:val="32"/>
          <w:szCs w:val="32"/>
          <w:lang w:eastAsia="zh-CN"/>
        </w:rPr>
        <w:t>（征求意见稿）</w:t>
      </w:r>
    </w:p>
    <w:p>
      <w:pPr>
        <w:keepNext w:val="0"/>
        <w:keepLines w:val="0"/>
        <w:pageBreakBefore w:val="0"/>
        <w:kinsoku/>
        <w:wordWrap/>
        <w:overflowPunct/>
        <w:topLinePunct w:val="0"/>
        <w:autoSpaceDE/>
        <w:autoSpaceDN/>
        <w:bidi w:val="0"/>
        <w:spacing w:line="590" w:lineRule="exact"/>
        <w:jc w:val="both"/>
        <w:textAlignment w:val="auto"/>
        <w:rPr>
          <w:rFonts w:ascii="Times New Roman" w:hAnsi="Times New Roman" w:eastAsia="方正仿宋_GBK" w:cs="Times New Roman"/>
          <w:sz w:val="32"/>
          <w:szCs w:val="32"/>
        </w:rPr>
      </w:pPr>
    </w:p>
    <w:p>
      <w:pPr>
        <w:keepNext w:val="0"/>
        <w:keepLines w:val="0"/>
        <w:pageBreakBefore w:val="0"/>
        <w:kinsoku/>
        <w:wordWrap/>
        <w:overflowPunct/>
        <w:topLinePunct w:val="0"/>
        <w:autoSpaceDE/>
        <w:autoSpaceDN/>
        <w:bidi w:val="0"/>
        <w:adjustRightInd w:val="0"/>
        <w:snapToGrid w:val="0"/>
        <w:spacing w:line="590" w:lineRule="exact"/>
        <w:jc w:val="both"/>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各设区市发展改革委，省电力公司、省</w:t>
      </w:r>
      <w:r>
        <w:rPr>
          <w:rFonts w:ascii="Times New Roman" w:hAnsi="Times New Roman" w:eastAsia="方正仿宋_GBK" w:cs="Times New Roman"/>
          <w:sz w:val="32"/>
          <w:szCs w:val="32"/>
        </w:rPr>
        <w:t>电力交易中心：</w:t>
      </w:r>
    </w:p>
    <w:p>
      <w:pPr>
        <w:keepNext w:val="0"/>
        <w:keepLines w:val="0"/>
        <w:pageBreakBefore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为助力实现碳达峰碳中和，促进绿色能源电力消费，根据国家能源局《可再生能源绿色电力证书管理实施细则（试行）》（国能发资质规〔2025〕107号）等文件精神，现将</w:t>
      </w:r>
      <w:r>
        <w:rPr>
          <w:rFonts w:hint="eastAsia" w:ascii="Times New Roman" w:hAnsi="Times New Roman" w:eastAsia="方正仿宋_GBK" w:cs="Times New Roman"/>
          <w:sz w:val="32"/>
          <w:szCs w:val="32"/>
          <w:lang w:eastAsia="zh-CN"/>
        </w:rPr>
        <w:t>我省省级绿证账户的</w:t>
      </w:r>
      <w:r>
        <w:rPr>
          <w:rFonts w:hint="eastAsia" w:ascii="Times New Roman" w:hAnsi="Times New Roman" w:eastAsia="方正仿宋_GBK" w:cs="Times New Roman"/>
          <w:sz w:val="32"/>
          <w:szCs w:val="32"/>
        </w:rPr>
        <w:t>存量常规水电绿证划转工作要求</w:t>
      </w:r>
      <w:r>
        <w:rPr>
          <w:rFonts w:hint="eastAsia" w:ascii="Times New Roman" w:hAnsi="Times New Roman" w:eastAsia="方正仿宋_GBK" w:cs="Times New Roman"/>
          <w:sz w:val="32"/>
          <w:szCs w:val="32"/>
          <w:lang w:eastAsia="zh-CN"/>
        </w:rPr>
        <w:t>通知</w:t>
      </w:r>
      <w:r>
        <w:rPr>
          <w:rFonts w:hint="eastAsia" w:ascii="Times New Roman" w:hAnsi="Times New Roman" w:eastAsia="方正仿宋_GBK" w:cs="Times New Roman"/>
          <w:sz w:val="32"/>
          <w:szCs w:val="32"/>
        </w:rPr>
        <w:t>如下</w:t>
      </w:r>
      <w:r>
        <w:rPr>
          <w:rFonts w:hint="eastAsia" w:ascii="Times New Roman" w:hAnsi="Times New Roman" w:eastAsia="方正仿宋_GBK" w:cs="Times New Roman"/>
          <w:sz w:val="32"/>
          <w:szCs w:val="32"/>
          <w:lang w:eastAsia="zh-CN"/>
        </w:rPr>
        <w:t>。</w:t>
      </w:r>
    </w:p>
    <w:p>
      <w:pPr>
        <w:pStyle w:val="34"/>
        <w:keepNext w:val="0"/>
        <w:keepLines w:val="0"/>
        <w:pageBreakBefore w:val="0"/>
        <w:numPr>
          <w:ilvl w:val="0"/>
          <w:numId w:val="1"/>
        </w:numPr>
        <w:kinsoku/>
        <w:wordWrap/>
        <w:overflowPunct/>
        <w:topLinePunct w:val="0"/>
        <w:autoSpaceDE/>
        <w:autoSpaceDN/>
        <w:bidi w:val="0"/>
        <w:adjustRightInd w:val="0"/>
        <w:snapToGrid w:val="0"/>
        <w:spacing w:line="590" w:lineRule="exact"/>
        <w:jc w:val="both"/>
        <w:textAlignment w:val="auto"/>
        <w:rPr>
          <w:rFonts w:ascii="黑体" w:hAnsi="黑体" w:eastAsia="黑体" w:cs="Times New Roman"/>
          <w:sz w:val="32"/>
          <w:szCs w:val="32"/>
        </w:rPr>
      </w:pPr>
      <w:r>
        <w:rPr>
          <w:rFonts w:hint="eastAsia" w:ascii="黑体" w:hAnsi="黑体" w:eastAsia="黑体" w:cs="Times New Roman"/>
          <w:sz w:val="32"/>
          <w:szCs w:val="32"/>
          <w:lang w:eastAsia="zh-CN"/>
        </w:rPr>
        <w:t>落实国家</w:t>
      </w:r>
      <w:r>
        <w:rPr>
          <w:rFonts w:hint="eastAsia" w:ascii="黑体" w:hAnsi="黑体" w:eastAsia="黑体" w:cs="Times New Roman"/>
          <w:sz w:val="32"/>
          <w:szCs w:val="32"/>
        </w:rPr>
        <w:t>要求</w:t>
      </w:r>
    </w:p>
    <w:p>
      <w:pPr>
        <w:adjustRightInd w:val="0"/>
        <w:snapToGrid w:val="0"/>
        <w:spacing w:line="595" w:lineRule="exact"/>
        <w:ind w:firstLine="640" w:firstLineChars="200"/>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根据</w:t>
      </w:r>
      <w:r>
        <w:rPr>
          <w:rFonts w:hint="eastAsia" w:ascii="Times New Roman" w:hAnsi="Times New Roman" w:eastAsia="方正仿宋_GBK" w:cs="Times New Roman"/>
          <w:sz w:val="32"/>
          <w:szCs w:val="32"/>
        </w:rPr>
        <w:t>国家能源局要求，国家能源局电力业务资质管理中心对存量常规水电项目核发不可交易绿证，</w:t>
      </w:r>
      <w:r>
        <w:rPr>
          <w:rFonts w:hint="eastAsia" w:ascii="Times New Roman" w:hAnsi="Times New Roman" w:eastAsia="方正仿宋_GBK" w:cs="Times New Roman"/>
          <w:sz w:val="32"/>
          <w:szCs w:val="32"/>
          <w:lang w:eastAsia="zh-CN"/>
        </w:rPr>
        <w:t>并根据</w:t>
      </w:r>
      <w:r>
        <w:rPr>
          <w:rFonts w:hint="eastAsia" w:ascii="Times New Roman" w:hAnsi="Times New Roman" w:eastAsia="方正仿宋_GBK" w:cs="Times New Roman"/>
          <w:sz w:val="32"/>
          <w:szCs w:val="32"/>
        </w:rPr>
        <w:t>存量常规水电项目对应电量交易方式定期</w:t>
      </w:r>
      <w:r>
        <w:rPr>
          <w:rFonts w:hint="eastAsia" w:ascii="Times New Roman" w:hAnsi="Times New Roman" w:eastAsia="方正仿宋_GBK" w:cs="Times New Roman"/>
          <w:sz w:val="32"/>
          <w:szCs w:val="32"/>
          <w:lang w:eastAsia="zh-CN"/>
        </w:rPr>
        <w:t>归集</w:t>
      </w:r>
      <w:r>
        <w:rPr>
          <w:rFonts w:hint="eastAsia" w:ascii="Times New Roman" w:hAnsi="Times New Roman" w:eastAsia="方正仿宋_GBK" w:cs="Times New Roman"/>
          <w:sz w:val="32"/>
          <w:szCs w:val="32"/>
        </w:rPr>
        <w:t>划转相应绿证</w:t>
      </w:r>
      <w:r>
        <w:rPr>
          <w:rFonts w:hint="eastAsia" w:ascii="Times New Roman" w:hAnsi="Times New Roman" w:eastAsia="方正仿宋_GBK" w:cs="Times New Roman"/>
          <w:sz w:val="32"/>
          <w:szCs w:val="32"/>
          <w:lang w:eastAsia="zh-CN"/>
        </w:rPr>
        <w:t>。其中，由我省</w:t>
      </w:r>
      <w:r>
        <w:rPr>
          <w:rFonts w:hint="eastAsia" w:ascii="Times New Roman" w:hAnsi="Times New Roman" w:eastAsia="方正仿宋_GBK" w:cs="Times New Roman"/>
          <w:sz w:val="32"/>
          <w:szCs w:val="32"/>
        </w:rPr>
        <w:t>电网企业代理购电的存量常规水电项目电量对应绿证</w:t>
      </w:r>
      <w:r>
        <w:rPr>
          <w:rFonts w:hint="eastAsia" w:ascii="Times New Roman" w:hAnsi="Times New Roman" w:eastAsia="方正仿宋_GBK" w:cs="Times New Roman"/>
          <w:sz w:val="32"/>
          <w:szCs w:val="32"/>
          <w:lang w:eastAsia="zh-CN"/>
        </w:rPr>
        <w:t>将</w:t>
      </w:r>
      <w:r>
        <w:rPr>
          <w:rFonts w:hint="eastAsia" w:ascii="Times New Roman" w:hAnsi="Times New Roman" w:eastAsia="方正仿宋_GBK" w:cs="Times New Roman"/>
          <w:sz w:val="32"/>
          <w:szCs w:val="32"/>
        </w:rPr>
        <w:t>划转至省级绿证账户</w:t>
      </w:r>
      <w:r>
        <w:rPr>
          <w:rFonts w:hint="eastAsia" w:ascii="Times New Roman" w:hAnsi="Times New Roman" w:eastAsia="方正仿宋_GBK" w:cs="Times New Roman"/>
          <w:sz w:val="32"/>
          <w:szCs w:val="32"/>
          <w:lang w:eastAsia="zh-CN"/>
        </w:rPr>
        <w:t>，省发展改革委组织</w:t>
      </w:r>
      <w:r>
        <w:rPr>
          <w:rFonts w:hint="eastAsia" w:ascii="Times New Roman" w:hAnsi="Times New Roman" w:eastAsia="方正仿宋_GBK" w:cs="Times New Roman"/>
          <w:sz w:val="32"/>
          <w:szCs w:val="32"/>
        </w:rPr>
        <w:t>分配至省内各地用户。</w:t>
      </w:r>
    </w:p>
    <w:p>
      <w:pPr>
        <w:pStyle w:val="34"/>
        <w:keepNext w:val="0"/>
        <w:keepLines w:val="0"/>
        <w:pageBreakBefore w:val="0"/>
        <w:numPr>
          <w:ilvl w:val="0"/>
          <w:numId w:val="1"/>
        </w:numPr>
        <w:kinsoku/>
        <w:wordWrap/>
        <w:overflowPunct/>
        <w:topLinePunct w:val="0"/>
        <w:autoSpaceDE/>
        <w:autoSpaceDN/>
        <w:bidi w:val="0"/>
        <w:adjustRightInd w:val="0"/>
        <w:snapToGrid w:val="0"/>
        <w:spacing w:line="590" w:lineRule="exact"/>
        <w:jc w:val="both"/>
        <w:textAlignment w:val="auto"/>
        <w:rPr>
          <w:rFonts w:ascii="黑体" w:hAnsi="黑体" w:eastAsia="黑体" w:cs="Times New Roman"/>
          <w:sz w:val="32"/>
          <w:szCs w:val="32"/>
        </w:rPr>
      </w:pPr>
      <w:r>
        <w:rPr>
          <w:rFonts w:hint="eastAsia" w:ascii="黑体" w:hAnsi="黑体" w:eastAsia="黑体" w:cs="Times New Roman"/>
          <w:sz w:val="32"/>
          <w:szCs w:val="32"/>
          <w:lang w:eastAsia="zh-CN"/>
        </w:rPr>
        <w:t>开展分级管理</w:t>
      </w:r>
    </w:p>
    <w:p>
      <w:pPr>
        <w:keepNext w:val="0"/>
        <w:keepLines w:val="0"/>
        <w:pageBreakBefore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Times New Roman" w:hAnsi="Times New Roman" w:eastAsia="方正仿宋_GBK"/>
          <w:color w:val="000000"/>
          <w:sz w:val="32"/>
          <w:szCs w:val="32"/>
        </w:rPr>
      </w:pPr>
      <w:r>
        <w:rPr>
          <w:rFonts w:hint="eastAsia" w:ascii="Times New Roman Regular" w:hAnsi="Times New Roman Regular" w:eastAsia="方正仿宋_GBK" w:cs="Times New Roman Regular"/>
          <w:color w:val="000000"/>
          <w:sz w:val="32"/>
          <w:szCs w:val="32"/>
          <w:lang w:eastAsia="zh-CN"/>
        </w:rPr>
        <w:t>省发展改革委根据</w:t>
      </w:r>
      <w:r>
        <w:rPr>
          <w:rFonts w:hint="eastAsia" w:ascii="方正仿宋_GBK" w:hAnsi="方正仿宋_GBK" w:eastAsia="方正仿宋_GBK"/>
          <w:b w:val="0"/>
          <w:sz w:val="32"/>
          <w:lang w:eastAsia="zh-CN"/>
        </w:rPr>
        <w:t>各设区市</w:t>
      </w:r>
      <w:r>
        <w:rPr>
          <w:rFonts w:ascii="方正仿宋_GBK" w:hAnsi="方正仿宋_GBK" w:eastAsia="方正仿宋_GBK"/>
          <w:b w:val="0"/>
          <w:sz w:val="32"/>
        </w:rPr>
        <w:t>全社会用电量</w:t>
      </w:r>
      <w:r>
        <w:rPr>
          <w:rFonts w:hint="eastAsia" w:ascii="方正仿宋_GBK" w:hAnsi="方正仿宋_GBK" w:eastAsia="方正仿宋_GBK"/>
          <w:b w:val="0"/>
          <w:sz w:val="32"/>
          <w:lang w:eastAsia="zh-CN"/>
        </w:rPr>
        <w:t>在</w:t>
      </w:r>
      <w:r>
        <w:rPr>
          <w:rFonts w:ascii="方正仿宋_GBK" w:hAnsi="方正仿宋_GBK" w:eastAsia="方正仿宋_GBK"/>
          <w:b w:val="0"/>
          <w:sz w:val="32"/>
        </w:rPr>
        <w:t>全省占比</w:t>
      </w:r>
      <w:r>
        <w:rPr>
          <w:rFonts w:hint="eastAsia" w:ascii="方正仿宋_GBK" w:hAnsi="方正仿宋_GBK" w:eastAsia="方正仿宋_GBK"/>
          <w:b w:val="0"/>
          <w:sz w:val="32"/>
          <w:lang w:eastAsia="zh-CN"/>
        </w:rPr>
        <w:t>情况，按年度</w:t>
      </w:r>
      <w:bookmarkStart w:id="0" w:name="_GoBack"/>
      <w:bookmarkEnd w:id="0"/>
      <w:r>
        <w:rPr>
          <w:rFonts w:hint="default" w:ascii="Times New Roman" w:hAnsi="Times New Roman" w:eastAsia="方正仿宋_GBK" w:cs="Times New Roman"/>
          <w:b w:val="0"/>
          <w:sz w:val="32"/>
          <w:lang w:eastAsia="zh-CN"/>
        </w:rPr>
        <w:t>组织</w:t>
      </w:r>
      <w:r>
        <w:rPr>
          <w:rFonts w:hint="default" w:ascii="Times New Roman" w:hAnsi="Times New Roman" w:eastAsia="方正仿宋_GBK" w:cs="Times New Roman"/>
          <w:b w:val="0"/>
          <w:sz w:val="32"/>
        </w:rPr>
        <w:t>核定</w:t>
      </w:r>
      <w:r>
        <w:rPr>
          <w:rFonts w:hint="default" w:ascii="Times New Roman" w:hAnsi="Times New Roman" w:eastAsia="方正仿宋_GBK" w:cs="Times New Roman"/>
          <w:b w:val="0"/>
          <w:sz w:val="32"/>
          <w:lang w:eastAsia="zh-CN"/>
        </w:rPr>
        <w:t>分配给</w:t>
      </w:r>
      <w:r>
        <w:rPr>
          <w:rFonts w:hint="default" w:ascii="Times New Roman" w:hAnsi="Times New Roman" w:eastAsia="方正仿宋_GBK" w:cs="Times New Roman"/>
          <w:b w:val="0"/>
          <w:sz w:val="32"/>
        </w:rPr>
        <w:t>各设区市</w:t>
      </w:r>
      <w:r>
        <w:rPr>
          <w:rFonts w:hint="default" w:ascii="Times New Roman" w:hAnsi="Times New Roman" w:eastAsia="方正仿宋_GBK" w:cs="Times New Roman"/>
          <w:b w:val="0"/>
          <w:sz w:val="32"/>
          <w:lang w:eastAsia="zh-CN"/>
        </w:rPr>
        <w:t>的</w:t>
      </w:r>
      <w:r>
        <w:rPr>
          <w:rFonts w:hint="eastAsia" w:ascii="Times New Roman" w:hAnsi="Times New Roman" w:eastAsia="方正仿宋_GBK" w:cs="Times New Roman"/>
          <w:b w:val="0"/>
          <w:sz w:val="32"/>
          <w:lang w:eastAsia="zh-CN"/>
        </w:rPr>
        <w:t>比例</w:t>
      </w:r>
      <w:r>
        <w:rPr>
          <w:rFonts w:hint="default" w:ascii="Times New Roman" w:hAnsi="Times New Roman" w:eastAsia="方正仿宋_GBK" w:cs="Times New Roman"/>
          <w:b w:val="0"/>
          <w:sz w:val="32"/>
          <w:lang w:eastAsia="zh-CN"/>
        </w:rPr>
        <w:t>和额度</w:t>
      </w:r>
      <w:r>
        <w:rPr>
          <w:rFonts w:hint="eastAsia" w:ascii="Times New Roman" w:hAnsi="Times New Roman" w:eastAsia="方正仿宋_GBK"/>
          <w:color w:val="000000"/>
          <w:sz w:val="32"/>
          <w:szCs w:val="32"/>
        </w:rPr>
        <w:t>（</w:t>
      </w:r>
      <w:r>
        <w:rPr>
          <w:rFonts w:hint="eastAsia" w:ascii="Times New Roman" w:hAnsi="Times New Roman" w:eastAsia="方正仿宋_GBK"/>
          <w:color w:val="000000"/>
          <w:sz w:val="32"/>
          <w:szCs w:val="32"/>
          <w:lang w:eastAsia="zh-CN"/>
        </w:rPr>
        <w:t>分配</w:t>
      </w:r>
      <w:r>
        <w:rPr>
          <w:rFonts w:hint="eastAsia" w:ascii="Times New Roman" w:hAnsi="Times New Roman" w:eastAsia="方正仿宋_GBK"/>
          <w:color w:val="000000"/>
          <w:sz w:val="32"/>
          <w:szCs w:val="32"/>
        </w:rPr>
        <w:t>测算</w:t>
      </w:r>
      <w:r>
        <w:rPr>
          <w:rFonts w:hint="eastAsia" w:ascii="Times New Roman" w:hAnsi="Times New Roman" w:eastAsia="方正仿宋_GBK"/>
          <w:color w:val="000000"/>
          <w:sz w:val="32"/>
          <w:szCs w:val="32"/>
          <w:lang w:eastAsia="zh-CN"/>
        </w:rPr>
        <w:t>模型</w:t>
      </w:r>
      <w:r>
        <w:rPr>
          <w:rFonts w:hint="eastAsia" w:ascii="Times New Roman" w:hAnsi="Times New Roman" w:eastAsia="方正仿宋_GBK"/>
          <w:color w:val="000000"/>
          <w:sz w:val="32"/>
          <w:szCs w:val="32"/>
        </w:rPr>
        <w:t>及测算说明见附件</w:t>
      </w:r>
      <w:r>
        <w:rPr>
          <w:rFonts w:hint="eastAsia" w:ascii="Times New Roman" w:hAnsi="Times New Roman" w:eastAsia="方正仿宋_GBK"/>
          <w:color w:val="000000"/>
          <w:sz w:val="32"/>
          <w:szCs w:val="32"/>
          <w:lang w:val="en-US" w:eastAsia="zh-CN"/>
        </w:rPr>
        <w:t>1</w:t>
      </w:r>
      <w:r>
        <w:rPr>
          <w:rFonts w:hint="eastAsia" w:ascii="Times New Roman" w:hAnsi="Times New Roman" w:eastAsia="方正仿宋_GBK"/>
          <w:color w:val="000000"/>
          <w:sz w:val="32"/>
          <w:szCs w:val="32"/>
        </w:rPr>
        <w:t>）</w:t>
      </w:r>
      <w:r>
        <w:rPr>
          <w:rFonts w:hint="eastAsia" w:ascii="Times New Roman" w:hAnsi="Times New Roman" w:eastAsia="方正仿宋_GBK"/>
          <w:color w:val="000000"/>
          <w:sz w:val="32"/>
          <w:szCs w:val="32"/>
          <w:lang w:eastAsia="zh-CN"/>
        </w:rPr>
        <w:t>。</w:t>
      </w:r>
      <w:r>
        <w:rPr>
          <w:rFonts w:hint="eastAsia" w:ascii="Times New Roman" w:hAnsi="Times New Roman" w:eastAsia="方正仿宋_GBK"/>
          <w:color w:val="000000"/>
          <w:sz w:val="32"/>
          <w:szCs w:val="32"/>
        </w:rPr>
        <w:t>各设区市发展改革委</w:t>
      </w:r>
      <w:r>
        <w:rPr>
          <w:rFonts w:hint="eastAsia" w:ascii="Times New Roman Regular" w:hAnsi="Times New Roman Regular" w:eastAsia="方正仿宋_GBK" w:cs="Times New Roman Regular"/>
          <w:color w:val="000000"/>
          <w:kern w:val="0"/>
          <w:sz w:val="32"/>
          <w:szCs w:val="32"/>
        </w:rPr>
        <w:t>应按照“按需申请、择优分配”的原则，</w:t>
      </w:r>
      <w:r>
        <w:rPr>
          <w:rFonts w:hint="eastAsia" w:ascii="Times New Roman Regular" w:hAnsi="Times New Roman Regular" w:eastAsia="方正仿宋_GBK" w:cs="Times New Roman Regular"/>
          <w:color w:val="000000"/>
          <w:kern w:val="0"/>
          <w:sz w:val="32"/>
          <w:szCs w:val="32"/>
          <w:lang w:eastAsia="zh-CN"/>
        </w:rPr>
        <w:t>统筹考虑企业节能降碳目标</w:t>
      </w:r>
      <w:r>
        <w:rPr>
          <w:rFonts w:ascii="Times New Roman Regular" w:hAnsi="Times New Roman Regular" w:eastAsia="方正仿宋_GBK" w:cs="Times New Roman Regular"/>
          <w:color w:val="000000"/>
          <w:kern w:val="0"/>
          <w:sz w:val="32"/>
          <w:szCs w:val="32"/>
        </w:rPr>
        <w:t>、绿色转型成效、产值贡献、</w:t>
      </w:r>
      <w:r>
        <w:rPr>
          <w:rFonts w:hint="eastAsia" w:ascii="Times New Roman Regular" w:hAnsi="Times New Roman Regular" w:eastAsia="方正仿宋_GBK" w:cs="Times New Roman Regular"/>
          <w:color w:val="000000"/>
          <w:kern w:val="0"/>
          <w:sz w:val="32"/>
          <w:szCs w:val="32"/>
        </w:rPr>
        <w:t>可再生能源消费</w:t>
      </w:r>
      <w:r>
        <w:rPr>
          <w:rFonts w:hint="eastAsia" w:ascii="Times New Roman Regular" w:hAnsi="Times New Roman Regular" w:eastAsia="方正仿宋_GBK" w:cs="Times New Roman Regular"/>
          <w:color w:val="000000"/>
          <w:kern w:val="0"/>
          <w:sz w:val="32"/>
          <w:szCs w:val="32"/>
          <w:lang w:eastAsia="zh-CN"/>
        </w:rPr>
        <w:t>责任完成</w:t>
      </w:r>
      <w:r>
        <w:rPr>
          <w:rFonts w:ascii="Times New Roman Regular" w:hAnsi="Times New Roman Regular" w:eastAsia="方正仿宋_GBK" w:cs="Times New Roman Regular"/>
          <w:color w:val="000000"/>
          <w:kern w:val="0"/>
          <w:sz w:val="32"/>
          <w:szCs w:val="32"/>
        </w:rPr>
        <w:t>情况等</w:t>
      </w:r>
      <w:r>
        <w:rPr>
          <w:rFonts w:hint="eastAsia" w:ascii="Times New Roman Regular" w:hAnsi="Times New Roman Regular" w:eastAsia="方正仿宋_GBK" w:cs="Times New Roman Regular"/>
          <w:color w:val="000000"/>
          <w:kern w:val="0"/>
          <w:sz w:val="32"/>
          <w:szCs w:val="32"/>
          <w:lang w:eastAsia="zh-CN"/>
        </w:rPr>
        <w:t>因素，将额度</w:t>
      </w:r>
      <w:r>
        <w:rPr>
          <w:rFonts w:hint="eastAsia" w:ascii="Times New Roman" w:hAnsi="Times New Roman" w:eastAsia="方正仿宋_GBK"/>
          <w:color w:val="000000"/>
          <w:sz w:val="32"/>
          <w:szCs w:val="32"/>
        </w:rPr>
        <w:t>无偿</w:t>
      </w:r>
      <w:r>
        <w:rPr>
          <w:rFonts w:hint="eastAsia" w:ascii="Times New Roman" w:hAnsi="Times New Roman" w:eastAsia="方正仿宋_GBK"/>
          <w:color w:val="000000"/>
          <w:sz w:val="32"/>
          <w:szCs w:val="32"/>
          <w:lang w:eastAsia="zh-CN"/>
        </w:rPr>
        <w:t>分配</w:t>
      </w:r>
      <w:r>
        <w:rPr>
          <w:rFonts w:hint="eastAsia" w:ascii="Times New Roman" w:hAnsi="Times New Roman" w:eastAsia="方正仿宋_GBK"/>
          <w:color w:val="000000"/>
          <w:sz w:val="32"/>
          <w:szCs w:val="32"/>
        </w:rPr>
        <w:t>至</w:t>
      </w:r>
      <w:r>
        <w:rPr>
          <w:rFonts w:ascii="仿宋_GB2312" w:hAnsi="Times New Roman" w:eastAsia="仿宋_GB2312" w:cs="仿宋_GB2312"/>
          <w:color w:val="000000"/>
          <w:sz w:val="32"/>
          <w:szCs w:val="32"/>
        </w:rPr>
        <w:t>用户</w:t>
      </w:r>
      <w:r>
        <w:rPr>
          <w:rFonts w:ascii="Times New Roman Regular" w:hAnsi="Times New Roman Regular" w:eastAsia="方正仿宋_GBK" w:cs="Times New Roman Regular"/>
          <w:color w:val="000000"/>
          <w:kern w:val="0"/>
          <w:sz w:val="32"/>
          <w:szCs w:val="32"/>
        </w:rPr>
        <w:t>，</w:t>
      </w:r>
      <w:r>
        <w:rPr>
          <w:rFonts w:hint="eastAsia" w:ascii="Times New Roman Regular" w:hAnsi="Times New Roman Regular" w:eastAsia="方正仿宋_GBK" w:cs="Times New Roman Regular"/>
          <w:color w:val="000000"/>
          <w:kern w:val="0"/>
          <w:sz w:val="32"/>
          <w:szCs w:val="32"/>
        </w:rPr>
        <w:t>并</w:t>
      </w:r>
      <w:r>
        <w:rPr>
          <w:rFonts w:ascii="Times New Roman Regular" w:hAnsi="Times New Roman Regular" w:eastAsia="方正仿宋_GBK" w:cs="Times New Roman Regular"/>
          <w:color w:val="000000"/>
          <w:kern w:val="0"/>
          <w:sz w:val="32"/>
          <w:szCs w:val="32"/>
        </w:rPr>
        <w:t>优先</w:t>
      </w:r>
      <w:r>
        <w:rPr>
          <w:rFonts w:hint="eastAsia" w:ascii="Times New Roman Regular" w:hAnsi="Times New Roman Regular" w:eastAsia="方正仿宋_GBK" w:cs="Times New Roman Regular"/>
          <w:color w:val="000000"/>
          <w:kern w:val="0"/>
          <w:sz w:val="32"/>
          <w:szCs w:val="32"/>
        </w:rPr>
        <w:t>满足</w:t>
      </w:r>
      <w:r>
        <w:rPr>
          <w:rFonts w:hint="eastAsia" w:ascii="Times New Roman Regular" w:hAnsi="Times New Roman Regular" w:eastAsia="方正仿宋_GBK" w:cs="Times New Roman Regular"/>
          <w:color w:val="000000"/>
          <w:kern w:val="0"/>
          <w:sz w:val="32"/>
          <w:szCs w:val="32"/>
          <w:lang w:eastAsia="zh-CN"/>
        </w:rPr>
        <w:t>绿</w:t>
      </w:r>
      <w:r>
        <w:rPr>
          <w:rFonts w:hint="eastAsia" w:ascii="Times New Roman Regular" w:hAnsi="Times New Roman Regular" w:eastAsia="方正仿宋_GBK" w:cs="Times New Roman Regular"/>
          <w:color w:val="000000"/>
          <w:kern w:val="0"/>
          <w:sz w:val="32"/>
          <w:szCs w:val="32"/>
        </w:rPr>
        <w:t>色转型企业、出口外向型企业、重点产业项目、</w:t>
      </w:r>
      <w:r>
        <w:rPr>
          <w:rFonts w:hint="eastAsia" w:ascii="Times New Roman Regular" w:hAnsi="Times New Roman Regular" w:eastAsia="方正仿宋_GBK" w:cs="Times New Roman Regular"/>
          <w:color w:val="000000"/>
          <w:kern w:val="0"/>
          <w:sz w:val="32"/>
          <w:szCs w:val="32"/>
          <w:lang w:eastAsia="zh-CN"/>
        </w:rPr>
        <w:t>零碳</w:t>
      </w:r>
      <w:r>
        <w:rPr>
          <w:rFonts w:hint="eastAsia" w:ascii="Times New Roman Regular" w:hAnsi="Times New Roman Regular" w:eastAsia="方正仿宋_GBK" w:cs="Times New Roman Regular"/>
          <w:color w:val="000000"/>
          <w:kern w:val="0"/>
          <w:sz w:val="32"/>
          <w:szCs w:val="32"/>
        </w:rPr>
        <w:t>园区、算力数据中心</w:t>
      </w:r>
      <w:r>
        <w:rPr>
          <w:rFonts w:hint="eastAsia" w:ascii="Times New Roman Regular" w:hAnsi="Times New Roman Regular" w:eastAsia="方正仿宋_GBK" w:cs="Times New Roman Regular"/>
          <w:color w:val="000000"/>
          <w:kern w:val="0"/>
          <w:sz w:val="32"/>
          <w:szCs w:val="32"/>
          <w:lang w:eastAsia="zh-CN"/>
        </w:rPr>
        <w:t>等</w:t>
      </w:r>
      <w:r>
        <w:rPr>
          <w:rFonts w:hint="eastAsia" w:ascii="Times New Roman Regular" w:hAnsi="Times New Roman Regular" w:eastAsia="方正仿宋_GBK" w:cs="Times New Roman Regular"/>
          <w:color w:val="000000"/>
          <w:kern w:val="0"/>
          <w:sz w:val="32"/>
          <w:szCs w:val="32"/>
        </w:rPr>
        <w:t>的绿</w:t>
      </w:r>
      <w:r>
        <w:rPr>
          <w:rFonts w:ascii="Times New Roman Regular" w:hAnsi="Times New Roman Regular" w:eastAsia="方正仿宋_GBK" w:cs="Times New Roman Regular"/>
          <w:color w:val="000000"/>
          <w:kern w:val="0"/>
          <w:sz w:val="32"/>
          <w:szCs w:val="32"/>
        </w:rPr>
        <w:t>证需求</w:t>
      </w:r>
      <w:r>
        <w:rPr>
          <w:rFonts w:hint="eastAsia" w:ascii="Times New Roman" w:hAnsi="Times New Roman" w:eastAsia="方正仿宋_GBK"/>
          <w:color w:val="000000"/>
          <w:sz w:val="32"/>
          <w:szCs w:val="32"/>
        </w:rPr>
        <w:t>。</w:t>
      </w:r>
      <w:r>
        <w:rPr>
          <w:rFonts w:hint="eastAsia" w:ascii="Times New Roman" w:hAnsi="Times New Roman" w:eastAsia="方正仿宋_GBK"/>
          <w:color w:val="000000"/>
          <w:sz w:val="32"/>
          <w:szCs w:val="32"/>
          <w:lang w:eastAsia="zh-CN"/>
        </w:rPr>
        <w:t>各</w:t>
      </w:r>
      <w:r>
        <w:rPr>
          <w:rFonts w:hint="eastAsia" w:ascii="Times New Roman" w:hAnsi="Times New Roman" w:eastAsia="方正仿宋_GBK"/>
          <w:color w:val="000000"/>
          <w:sz w:val="32"/>
          <w:szCs w:val="32"/>
        </w:rPr>
        <w:t>设区市</w:t>
      </w:r>
      <w:r>
        <w:rPr>
          <w:rFonts w:hint="eastAsia" w:ascii="Times New Roman" w:hAnsi="Times New Roman" w:eastAsia="方正仿宋_GBK"/>
          <w:color w:val="000000"/>
          <w:sz w:val="32"/>
          <w:szCs w:val="32"/>
          <w:lang w:eastAsia="zh-CN"/>
        </w:rPr>
        <w:t>发展改革委应</w:t>
      </w:r>
      <w:r>
        <w:rPr>
          <w:rFonts w:hint="eastAsia" w:ascii="Times New Roman" w:hAnsi="Times New Roman" w:eastAsia="方正仿宋_GBK"/>
          <w:color w:val="000000"/>
          <w:sz w:val="32"/>
          <w:szCs w:val="32"/>
        </w:rPr>
        <w:t>编制市级额度分配</w:t>
      </w:r>
      <w:r>
        <w:rPr>
          <w:rFonts w:hint="eastAsia" w:ascii="Times New Roman" w:hAnsi="Times New Roman" w:eastAsia="方正仿宋_GBK"/>
          <w:color w:val="000000"/>
          <w:sz w:val="32"/>
          <w:szCs w:val="32"/>
          <w:lang w:eastAsia="zh-CN"/>
        </w:rPr>
        <w:t>工作方案</w:t>
      </w:r>
      <w:r>
        <w:rPr>
          <w:rFonts w:hint="eastAsia" w:ascii="Times New Roman" w:hAnsi="Times New Roman" w:eastAsia="方正仿宋_GBK"/>
          <w:color w:val="000000"/>
          <w:sz w:val="32"/>
          <w:szCs w:val="32"/>
        </w:rPr>
        <w:t>，报本级政府同意后实施，并报省发展改革委</w:t>
      </w:r>
      <w:r>
        <w:rPr>
          <w:rFonts w:hint="eastAsia" w:ascii="Times New Roman" w:hAnsi="Times New Roman" w:eastAsia="方正仿宋_GBK"/>
          <w:color w:val="000000"/>
          <w:sz w:val="32"/>
          <w:szCs w:val="32"/>
          <w:lang w:eastAsia="zh-CN"/>
        </w:rPr>
        <w:t>备案</w:t>
      </w:r>
      <w:r>
        <w:rPr>
          <w:rFonts w:hint="eastAsia" w:ascii="Times New Roman" w:hAnsi="Times New Roman" w:eastAsia="方正仿宋_GBK"/>
          <w:color w:val="000000"/>
          <w:sz w:val="32"/>
          <w:szCs w:val="32"/>
        </w:rPr>
        <w:t>。</w:t>
      </w:r>
      <w:r>
        <w:rPr>
          <w:rFonts w:ascii="Times New Roman" w:hAnsi="Times New Roman" w:eastAsia="方正仿宋_GBK"/>
          <w:color w:val="000000"/>
          <w:sz w:val="32"/>
          <w:szCs w:val="32"/>
        </w:rPr>
        <w:t>各设区市的额度可以在省内设区市之间</w:t>
      </w:r>
      <w:r>
        <w:rPr>
          <w:rFonts w:hint="eastAsia" w:ascii="Times New Roman" w:hAnsi="Times New Roman" w:eastAsia="方正仿宋_GBK"/>
          <w:color w:val="000000"/>
          <w:sz w:val="32"/>
          <w:szCs w:val="32"/>
        </w:rPr>
        <w:t>协议</w:t>
      </w:r>
      <w:r>
        <w:rPr>
          <w:rFonts w:ascii="Times New Roman" w:hAnsi="Times New Roman" w:eastAsia="方正仿宋_GBK"/>
          <w:color w:val="000000"/>
          <w:sz w:val="32"/>
          <w:szCs w:val="32"/>
        </w:rPr>
        <w:t>转让。</w:t>
      </w:r>
    </w:p>
    <w:p>
      <w:pPr>
        <w:keepNext w:val="0"/>
        <w:keepLines w:val="0"/>
        <w:pageBreakBefore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Times New Roman" w:hAnsi="Times New Roman" w:eastAsia="黑体" w:cs="Times New Roman"/>
          <w:sz w:val="32"/>
          <w:szCs w:val="32"/>
          <w:lang w:eastAsia="zh-CN"/>
        </w:rPr>
      </w:pPr>
      <w:r>
        <w:rPr>
          <w:rFonts w:hint="eastAsia" w:ascii="黑体" w:hAnsi="黑体" w:eastAsia="黑体" w:cs="Times New Roman"/>
          <w:sz w:val="32"/>
          <w:szCs w:val="32"/>
        </w:rPr>
        <w:t>三、</w:t>
      </w:r>
      <w:r>
        <w:rPr>
          <w:rFonts w:hint="eastAsia" w:ascii="黑体" w:hAnsi="黑体" w:eastAsia="黑体" w:cs="Times New Roman"/>
          <w:sz w:val="32"/>
          <w:szCs w:val="32"/>
          <w:lang w:eastAsia="zh-CN"/>
        </w:rPr>
        <w:t>优化划转流程</w:t>
      </w:r>
    </w:p>
    <w:p>
      <w:pPr>
        <w:keepNext w:val="0"/>
        <w:keepLines w:val="0"/>
        <w:pageBreakBefore w:val="0"/>
        <w:kinsoku/>
        <w:wordWrap/>
        <w:overflowPunct/>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方正仿宋_GBK" w:cs="Times New Roman"/>
          <w:b w:val="0"/>
          <w:sz w:val="32"/>
        </w:rPr>
      </w:pPr>
      <w:r>
        <w:rPr>
          <w:rFonts w:ascii="Times New Roman Regular" w:hAnsi="Times New Roman Regular" w:eastAsia="方正仿宋_GBK" w:cs="Times New Roman Regular"/>
          <w:color w:val="000000"/>
          <w:kern w:val="0"/>
          <w:sz w:val="32"/>
          <w:szCs w:val="32"/>
        </w:rPr>
        <w:t>省发展改革委</w:t>
      </w:r>
      <w:r>
        <w:rPr>
          <w:rFonts w:hint="eastAsia" w:ascii="Times New Roman Regular" w:hAnsi="Times New Roman Regular" w:eastAsia="方正仿宋_GBK" w:cs="Times New Roman Regular"/>
          <w:color w:val="000000"/>
          <w:kern w:val="0"/>
          <w:sz w:val="32"/>
          <w:szCs w:val="32"/>
        </w:rPr>
        <w:t>负责对接</w:t>
      </w:r>
      <w:r>
        <w:rPr>
          <w:rFonts w:hint="eastAsia" w:ascii="Times New Roman" w:hAnsi="Times New Roman" w:eastAsia="方正仿宋_GBK" w:cs="Times New Roman"/>
          <w:sz w:val="32"/>
          <w:szCs w:val="32"/>
        </w:rPr>
        <w:t>国家能源局电力业务资质管理中心</w:t>
      </w:r>
      <w:r>
        <w:rPr>
          <w:rFonts w:hint="eastAsia" w:ascii="Times New Roman Regular" w:hAnsi="Times New Roman Regular" w:eastAsia="方正仿宋_GBK" w:cs="Times New Roman Regular"/>
          <w:color w:val="000000"/>
          <w:kern w:val="0"/>
          <w:sz w:val="32"/>
          <w:szCs w:val="32"/>
        </w:rPr>
        <w:t>确定省级绿证账户情况，</w:t>
      </w:r>
      <w:r>
        <w:rPr>
          <w:rFonts w:hint="eastAsia" w:ascii="Times New Roman Regular" w:hAnsi="Times New Roman Regular" w:eastAsia="方正仿宋_GBK" w:cs="Times New Roman Regular"/>
          <w:color w:val="000000"/>
          <w:kern w:val="0"/>
          <w:sz w:val="32"/>
          <w:szCs w:val="32"/>
          <w:lang w:eastAsia="zh-CN"/>
        </w:rPr>
        <w:t>并</w:t>
      </w:r>
      <w:r>
        <w:rPr>
          <w:rFonts w:hint="default" w:ascii="Times New Roman Regular" w:hAnsi="Times New Roman Regular" w:eastAsia="方正仿宋_GBK" w:cs="Times New Roman Regular"/>
          <w:color w:val="000000"/>
          <w:kern w:val="0"/>
          <w:sz w:val="32"/>
          <w:szCs w:val="32"/>
        </w:rPr>
        <w:t>组织省电力交易中心根据上年度统计数据测算</w:t>
      </w:r>
      <w:r>
        <w:rPr>
          <w:rFonts w:hint="eastAsia" w:ascii="Times New Roman Regular" w:hAnsi="Times New Roman Regular" w:eastAsia="方正仿宋_GBK" w:cs="Times New Roman Regular"/>
          <w:color w:val="000000"/>
          <w:kern w:val="0"/>
          <w:sz w:val="32"/>
          <w:szCs w:val="32"/>
          <w:lang w:eastAsia="zh-CN"/>
        </w:rPr>
        <w:t>本</w:t>
      </w:r>
      <w:r>
        <w:rPr>
          <w:rFonts w:hint="default" w:ascii="Times New Roman Regular" w:hAnsi="Times New Roman Regular" w:eastAsia="方正仿宋_GBK" w:cs="Times New Roman Regular"/>
          <w:color w:val="000000"/>
          <w:kern w:val="0"/>
          <w:sz w:val="32"/>
          <w:szCs w:val="32"/>
        </w:rPr>
        <w:t>年度分配</w:t>
      </w:r>
      <w:r>
        <w:rPr>
          <w:rFonts w:hint="default" w:ascii="Times New Roman Regular" w:hAnsi="Times New Roman Regular" w:eastAsia="方正仿宋_GBK" w:cs="Times New Roman Regular"/>
          <w:color w:val="000000"/>
          <w:kern w:val="0"/>
          <w:sz w:val="32"/>
          <w:szCs w:val="32"/>
          <w:lang w:eastAsia="zh-CN"/>
        </w:rPr>
        <w:t>给</w:t>
      </w:r>
      <w:r>
        <w:rPr>
          <w:rFonts w:hint="default" w:ascii="Times New Roman Regular" w:hAnsi="Times New Roman Regular" w:eastAsia="方正仿宋_GBK" w:cs="Times New Roman Regular"/>
          <w:color w:val="000000"/>
          <w:kern w:val="0"/>
          <w:sz w:val="32"/>
          <w:szCs w:val="32"/>
        </w:rPr>
        <w:t>各设区市</w:t>
      </w:r>
      <w:r>
        <w:rPr>
          <w:rFonts w:hint="eastAsia" w:ascii="Times New Roman Regular" w:hAnsi="Times New Roman Regular" w:eastAsia="方正仿宋_GBK" w:cs="Times New Roman Regular"/>
          <w:color w:val="000000"/>
          <w:kern w:val="0"/>
          <w:sz w:val="32"/>
          <w:szCs w:val="32"/>
          <w:lang w:eastAsia="zh-CN"/>
        </w:rPr>
        <w:t>比例及</w:t>
      </w:r>
      <w:r>
        <w:rPr>
          <w:rFonts w:hint="default" w:ascii="Times New Roman Regular" w:hAnsi="Times New Roman Regular" w:eastAsia="方正仿宋_GBK" w:cs="Times New Roman Regular"/>
          <w:color w:val="000000"/>
          <w:kern w:val="0"/>
          <w:sz w:val="32"/>
          <w:szCs w:val="32"/>
          <w:lang w:eastAsia="zh-CN"/>
        </w:rPr>
        <w:t>额度</w:t>
      </w:r>
      <w:r>
        <w:rPr>
          <w:rFonts w:hint="default" w:ascii="Times New Roman Regular" w:hAnsi="Times New Roman Regular" w:eastAsia="方正仿宋_GBK" w:cs="Times New Roman Regular"/>
          <w:color w:val="000000"/>
          <w:kern w:val="0"/>
          <w:sz w:val="32"/>
          <w:szCs w:val="32"/>
        </w:rPr>
        <w:t>。各设区市发展改革委</w:t>
      </w:r>
      <w:r>
        <w:rPr>
          <w:rFonts w:hint="eastAsia" w:ascii="Times New Roman Regular" w:hAnsi="Times New Roman Regular" w:eastAsia="方正仿宋_GBK" w:cs="Times New Roman Regular"/>
          <w:color w:val="000000"/>
          <w:kern w:val="0"/>
          <w:sz w:val="32"/>
          <w:szCs w:val="32"/>
          <w:lang w:eastAsia="zh-CN"/>
        </w:rPr>
        <w:t>及时组织用户申请存量常规水电绿证划转</w:t>
      </w:r>
      <w:r>
        <w:rPr>
          <w:rFonts w:hint="default" w:ascii="Times New Roman Regular" w:hAnsi="Times New Roman Regular" w:eastAsia="方正仿宋_GBK" w:cs="Times New Roman Regular"/>
          <w:color w:val="000000"/>
          <w:kern w:val="0"/>
          <w:sz w:val="32"/>
          <w:szCs w:val="32"/>
        </w:rPr>
        <w:t>，</w:t>
      </w:r>
      <w:r>
        <w:rPr>
          <w:rFonts w:hint="eastAsia" w:ascii="Times New Roman" w:hAnsi="Times New Roman" w:eastAsia="方正仿宋_GBK" w:cs="Times New Roman"/>
          <w:sz w:val="32"/>
          <w:szCs w:val="32"/>
        </w:rPr>
        <w:t>确定</w:t>
      </w:r>
      <w:r>
        <w:rPr>
          <w:rFonts w:hint="eastAsia" w:ascii="Times New Roman" w:hAnsi="Times New Roman" w:eastAsia="方正仿宋_GBK" w:cs="Times New Roman"/>
          <w:sz w:val="32"/>
          <w:szCs w:val="32"/>
          <w:lang w:eastAsia="zh-CN"/>
        </w:rPr>
        <w:t>用户</w:t>
      </w:r>
      <w:r>
        <w:rPr>
          <w:rFonts w:hint="eastAsia" w:ascii="Times New Roman" w:hAnsi="Times New Roman" w:eastAsia="方正仿宋_GBK" w:cs="Times New Roman"/>
          <w:sz w:val="32"/>
          <w:szCs w:val="32"/>
        </w:rPr>
        <w:t>分配额度</w:t>
      </w:r>
      <w:r>
        <w:rPr>
          <w:rFonts w:hint="eastAsia" w:ascii="Times New Roman" w:hAnsi="Times New Roman" w:eastAsia="方正仿宋_GBK" w:cs="Times New Roman"/>
          <w:sz w:val="32"/>
          <w:szCs w:val="32"/>
          <w:lang w:eastAsia="zh-CN"/>
        </w:rPr>
        <w:t>，</w:t>
      </w:r>
      <w:r>
        <w:rPr>
          <w:rFonts w:hint="default" w:ascii="Times New Roman Regular" w:hAnsi="Times New Roman Regular" w:eastAsia="方正仿宋_GBK" w:cs="Times New Roman Regular"/>
          <w:color w:val="000000"/>
          <w:kern w:val="0"/>
          <w:sz w:val="32"/>
          <w:szCs w:val="32"/>
        </w:rPr>
        <w:t>形成</w:t>
      </w:r>
      <w:r>
        <w:rPr>
          <w:rFonts w:hint="eastAsia" w:ascii="Times New Roman" w:hAnsi="Times New Roman" w:eastAsia="方正仿宋_GBK" w:cs="Times New Roman"/>
          <w:b w:val="0"/>
          <w:sz w:val="32"/>
          <w:lang w:eastAsia="zh-CN"/>
        </w:rPr>
        <w:t>分配</w:t>
      </w:r>
      <w:r>
        <w:rPr>
          <w:rFonts w:hint="default" w:ascii="Times New Roman" w:hAnsi="Times New Roman" w:eastAsia="方正仿宋_GBK" w:cs="Times New Roman"/>
          <w:b w:val="0"/>
          <w:sz w:val="32"/>
        </w:rPr>
        <w:t>清单</w:t>
      </w:r>
      <w:r>
        <w:rPr>
          <w:rFonts w:hint="eastAsia" w:ascii="Times New Roman" w:hAnsi="Times New Roman" w:eastAsia="方正仿宋_GBK" w:cs="Times New Roman"/>
          <w:b w:val="0"/>
          <w:sz w:val="32"/>
          <w:lang w:eastAsia="zh-CN"/>
        </w:rPr>
        <w:t>，并进行公示。</w:t>
      </w:r>
      <w:r>
        <w:rPr>
          <w:rFonts w:hint="default" w:ascii="Times New Roman" w:hAnsi="Times New Roman" w:eastAsia="方正仿宋_GBK" w:cs="Times New Roman"/>
          <w:b w:val="0"/>
          <w:sz w:val="32"/>
        </w:rPr>
        <w:t>省电力交易中心</w:t>
      </w:r>
      <w:r>
        <w:rPr>
          <w:rFonts w:hint="eastAsia" w:ascii="Times New Roman" w:hAnsi="Times New Roman" w:eastAsia="方正仿宋_GBK" w:cs="Times New Roman"/>
          <w:b w:val="0"/>
          <w:sz w:val="32"/>
          <w:lang w:eastAsia="zh-CN"/>
        </w:rPr>
        <w:t>负责协助</w:t>
      </w:r>
      <w:r>
        <w:rPr>
          <w:rFonts w:hint="default" w:ascii="Times New Roman" w:hAnsi="Times New Roman" w:eastAsia="方正仿宋_GBK" w:cs="Times New Roman"/>
          <w:b w:val="0"/>
          <w:sz w:val="32"/>
        </w:rPr>
        <w:t>开展</w:t>
      </w:r>
      <w:r>
        <w:rPr>
          <w:rFonts w:hint="eastAsia" w:ascii="Times New Roman Regular" w:hAnsi="Times New Roman Regular" w:eastAsia="方正仿宋_GBK" w:cs="Times New Roman Regular"/>
          <w:color w:val="000000"/>
          <w:kern w:val="0"/>
          <w:sz w:val="32"/>
          <w:szCs w:val="32"/>
          <w:lang w:eastAsia="zh-CN"/>
        </w:rPr>
        <w:t>存量常规水电绿证的</w:t>
      </w:r>
      <w:r>
        <w:rPr>
          <w:rFonts w:hint="default" w:ascii="Times New Roman" w:hAnsi="Times New Roman" w:eastAsia="方正仿宋_GBK" w:cs="Times New Roman"/>
          <w:b w:val="0"/>
          <w:sz w:val="32"/>
        </w:rPr>
        <w:t>数据</w:t>
      </w:r>
      <w:r>
        <w:rPr>
          <w:rFonts w:hint="eastAsia" w:ascii="Times New Roman" w:hAnsi="Times New Roman" w:eastAsia="方正仿宋_GBK" w:cs="Times New Roman"/>
          <w:b w:val="0"/>
          <w:sz w:val="32"/>
          <w:lang w:eastAsia="zh-CN"/>
        </w:rPr>
        <w:t>统计、台账管理等工作。省发展改革委对接</w:t>
      </w:r>
      <w:r>
        <w:rPr>
          <w:rFonts w:hint="eastAsia" w:ascii="Times New Roman" w:hAnsi="Times New Roman" w:eastAsia="方正仿宋_GBK" w:cs="Times New Roman"/>
          <w:sz w:val="32"/>
          <w:szCs w:val="32"/>
        </w:rPr>
        <w:t>国家能源局电力业务资质管理中心</w:t>
      </w:r>
      <w:r>
        <w:rPr>
          <w:rFonts w:hint="eastAsia" w:ascii="Times New Roman" w:hAnsi="Times New Roman" w:eastAsia="方正仿宋_GBK" w:cs="Times New Roman"/>
          <w:b w:val="0"/>
          <w:sz w:val="32"/>
          <w:lang w:eastAsia="zh-CN"/>
        </w:rPr>
        <w:t>及时将</w:t>
      </w:r>
      <w:r>
        <w:rPr>
          <w:rFonts w:hint="default" w:ascii="Times New Roman" w:hAnsi="Times New Roman" w:eastAsia="方正仿宋_GBK" w:cs="Times New Roman"/>
          <w:b w:val="0"/>
          <w:sz w:val="32"/>
        </w:rPr>
        <w:t>省级绿证账户</w:t>
      </w:r>
      <w:r>
        <w:rPr>
          <w:rFonts w:hint="eastAsia" w:ascii="Times New Roman" w:hAnsi="Times New Roman" w:eastAsia="方正仿宋_GBK" w:cs="Times New Roman"/>
          <w:b w:val="0"/>
          <w:sz w:val="32"/>
          <w:lang w:eastAsia="zh-CN"/>
        </w:rPr>
        <w:t>中的存量常规水电绿证</w:t>
      </w:r>
      <w:r>
        <w:rPr>
          <w:rFonts w:hint="default" w:ascii="Times New Roman" w:hAnsi="Times New Roman" w:eastAsia="方正仿宋_GBK" w:cs="Times New Roman"/>
          <w:b w:val="0"/>
          <w:sz w:val="32"/>
        </w:rPr>
        <w:t>划转至用户绿证账户</w:t>
      </w:r>
      <w:r>
        <w:rPr>
          <w:rFonts w:hint="eastAsia" w:ascii="Times New Roman" w:hAnsi="Times New Roman" w:eastAsia="方正仿宋_GBK" w:cs="Times New Roman"/>
          <w:b w:val="0"/>
          <w:sz w:val="32"/>
          <w:lang w:eastAsia="zh-CN"/>
        </w:rPr>
        <w:t>（</w:t>
      </w:r>
      <w:r>
        <w:rPr>
          <w:rFonts w:hint="default" w:ascii="Times New Roman" w:hAnsi="Times New Roman" w:eastAsia="方正仿宋_GBK" w:cs="Times New Roman"/>
          <w:b w:val="0"/>
          <w:sz w:val="32"/>
        </w:rPr>
        <w:t>具体操作流程见附件</w:t>
      </w:r>
      <w:r>
        <w:rPr>
          <w:rFonts w:hint="eastAsia" w:ascii="Times New Roman" w:hAnsi="Times New Roman" w:eastAsia="方正仿宋_GBK" w:cs="Times New Roman"/>
          <w:b w:val="0"/>
          <w:sz w:val="32"/>
          <w:lang w:val="en-US" w:eastAsia="zh-CN"/>
        </w:rPr>
        <w:t>2</w:t>
      </w:r>
      <w:r>
        <w:rPr>
          <w:rFonts w:hint="eastAsia" w:ascii="Times New Roman" w:hAnsi="Times New Roman" w:eastAsia="方正仿宋_GBK" w:cs="Times New Roman"/>
          <w:b w:val="0"/>
          <w:sz w:val="32"/>
          <w:lang w:eastAsia="zh-CN"/>
        </w:rPr>
        <w:t>）。本文件未尽事宜按照国家绿证相关文件的要求办理</w:t>
      </w:r>
      <w:r>
        <w:rPr>
          <w:rFonts w:hint="default" w:ascii="Times New Roman" w:hAnsi="Times New Roman" w:eastAsia="方正仿宋_GBK" w:cs="Times New Roman"/>
          <w:b w:val="0"/>
          <w:sz w:val="32"/>
        </w:rPr>
        <w:t>。</w:t>
      </w:r>
    </w:p>
    <w:p>
      <w:pPr>
        <w:keepNext w:val="0"/>
        <w:keepLines w:val="0"/>
        <w:pageBreakBefore w:val="0"/>
        <w:kinsoku/>
        <w:wordWrap/>
        <w:overflowPunct/>
        <w:topLinePunct w:val="0"/>
        <w:autoSpaceDE/>
        <w:autoSpaceDN/>
        <w:bidi w:val="0"/>
        <w:adjustRightInd w:val="0"/>
        <w:snapToGrid w:val="0"/>
        <w:spacing w:line="590" w:lineRule="exact"/>
        <w:ind w:firstLine="640" w:firstLineChars="200"/>
        <w:jc w:val="both"/>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本通知自印发之日起实施，国家另有新规的，从其规定。</w:t>
      </w:r>
    </w:p>
    <w:p>
      <w:pPr>
        <w:keepNext w:val="0"/>
        <w:keepLines w:val="0"/>
        <w:pageBreakBefore w:val="0"/>
        <w:kinsoku/>
        <w:wordWrap/>
        <w:overflowPunct/>
        <w:topLinePunct w:val="0"/>
        <w:autoSpaceDE/>
        <w:autoSpaceDN/>
        <w:bidi w:val="0"/>
        <w:adjustRightInd w:val="0"/>
        <w:snapToGrid w:val="0"/>
        <w:spacing w:line="590" w:lineRule="exact"/>
        <w:jc w:val="both"/>
        <w:textAlignment w:val="auto"/>
        <w:rPr>
          <w:rFonts w:ascii="Times New Roman Regular" w:hAnsi="Times New Roman Regular" w:eastAsia="方正仿宋_GBK" w:cs="Times New Roman Regular"/>
          <w:color w:val="000000"/>
          <w:kern w:val="0"/>
          <w:sz w:val="32"/>
          <w:szCs w:val="32"/>
        </w:rPr>
      </w:pPr>
    </w:p>
    <w:p>
      <w:pPr>
        <w:keepNext w:val="0"/>
        <w:keepLines w:val="0"/>
        <w:pageBreakBefore w:val="0"/>
        <w:kinsoku/>
        <w:wordWrap/>
        <w:overflowPunct/>
        <w:topLinePunct w:val="0"/>
        <w:autoSpaceDE/>
        <w:autoSpaceDN/>
        <w:bidi w:val="0"/>
        <w:adjustRightInd w:val="0"/>
        <w:snapToGrid w:val="0"/>
        <w:spacing w:line="590" w:lineRule="exact"/>
        <w:ind w:left="1918" w:leftChars="304" w:hanging="1280" w:hangingChars="400"/>
        <w:jc w:val="both"/>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rPr>
        <w:t>附件：</w:t>
      </w:r>
      <w:r>
        <w:rPr>
          <w:rFonts w:hint="eastAsia" w:ascii="Times New Roman" w:hAnsi="Times New Roman" w:eastAsia="方正仿宋_GBK" w:cs="Times New Roman"/>
          <w:sz w:val="32"/>
          <w:szCs w:val="32"/>
          <w:lang w:val="en-US" w:eastAsia="zh-CN"/>
        </w:rPr>
        <w:t>1. 分配测算模型及说明</w:t>
      </w:r>
    </w:p>
    <w:p>
      <w:pPr>
        <w:keepNext w:val="0"/>
        <w:keepLines w:val="0"/>
        <w:pageBreakBefore w:val="0"/>
        <w:numPr>
          <w:numId w:val="0"/>
        </w:numPr>
        <w:kinsoku/>
        <w:wordWrap/>
        <w:overflowPunct/>
        <w:topLinePunct w:val="0"/>
        <w:autoSpaceDE/>
        <w:autoSpaceDN/>
        <w:bidi w:val="0"/>
        <w:adjustRightInd w:val="0"/>
        <w:snapToGrid w:val="0"/>
        <w:spacing w:line="590" w:lineRule="exact"/>
        <w:ind w:firstLine="1600" w:firstLineChars="5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 存量常规水电绿证分配划转流程</w:t>
      </w:r>
    </w:p>
    <w:p>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（此页无正文）</w:t>
      </w:r>
    </w:p>
    <w:p>
      <w:pPr>
        <w:keepNext w:val="0"/>
        <w:keepLines w:val="0"/>
        <w:pageBreakBefore w:val="0"/>
        <w:kinsoku/>
        <w:wordWrap/>
        <w:overflowPunct/>
        <w:topLinePunct w:val="0"/>
        <w:autoSpaceDE/>
        <w:autoSpaceDN/>
        <w:bidi w:val="0"/>
        <w:adjustRightInd w:val="0"/>
        <w:snapToGrid w:val="0"/>
        <w:spacing w:line="590" w:lineRule="exact"/>
        <w:jc w:val="both"/>
        <w:textAlignment w:val="auto"/>
        <w:rPr>
          <w:rFonts w:hint="default" w:ascii="Times New Roman" w:hAnsi="Times New Roman" w:eastAsia="方正仿宋_GBK" w:cs="Times New Roman"/>
          <w:sz w:val="32"/>
          <w:szCs w:val="32"/>
          <w:lang w:val="en-US" w:eastAsia="zh-CN"/>
        </w:rPr>
      </w:pPr>
    </w:p>
    <w:p>
      <w:pPr>
        <w:keepNext w:val="0"/>
        <w:keepLines w:val="0"/>
        <w:pageBreakBefore w:val="0"/>
        <w:kinsoku/>
        <w:wordWrap/>
        <w:overflowPunct/>
        <w:topLinePunct w:val="0"/>
        <w:autoSpaceDE/>
        <w:autoSpaceDN/>
        <w:bidi w:val="0"/>
        <w:spacing w:line="590" w:lineRule="exact"/>
        <w:ind w:right="320" w:firstLine="640" w:firstLineChars="200"/>
        <w:jc w:val="right"/>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省发展改革委</w:t>
      </w:r>
    </w:p>
    <w:p>
      <w:pPr>
        <w:keepNext w:val="0"/>
        <w:keepLines w:val="0"/>
        <w:pageBreakBefore w:val="0"/>
        <w:kinsoku/>
        <w:wordWrap/>
        <w:overflowPunct/>
        <w:topLinePunct w:val="0"/>
        <w:autoSpaceDE/>
        <w:autoSpaceDN/>
        <w:bidi w:val="0"/>
        <w:spacing w:line="590" w:lineRule="exact"/>
        <w:ind w:firstLine="640" w:firstLineChars="200"/>
        <w:jc w:val="right"/>
        <w:textAlignment w:val="auto"/>
        <w:rPr>
          <w:rFonts w:hint="eastAsia" w:ascii="Times New Roman" w:hAnsi="Times New Roman" w:eastAsia="方正仿宋_GBK" w:cs="Times New Roman"/>
          <w:sz w:val="32"/>
          <w:szCs w:val="32"/>
        </w:rPr>
        <w:sectPr>
          <w:headerReference r:id="rId3" w:type="default"/>
          <w:footerReference r:id="rId4" w:type="default"/>
          <w:pgSz w:w="11906" w:h="16838"/>
          <w:pgMar w:top="1814" w:right="1531" w:bottom="1984" w:left="1531" w:header="851" w:footer="992" w:gutter="0"/>
          <w:cols w:space="425" w:num="1"/>
          <w:docGrid w:type="lines" w:linePitch="312" w:charSpace="0"/>
        </w:sectPr>
      </w:pPr>
      <w:r>
        <w:rPr>
          <w:rFonts w:hint="eastAsia" w:ascii="Times New Roman" w:hAnsi="Times New Roman" w:eastAsia="方正仿宋_GBK" w:cs="Times New Roman"/>
          <w:sz w:val="32"/>
          <w:szCs w:val="32"/>
        </w:rPr>
        <w:t>2026年</w:t>
      </w:r>
      <w:r>
        <w:rPr>
          <w:rFonts w:hint="eastAsia" w:ascii="Times New Roman" w:hAnsi="Times New Roman" w:eastAsia="方正仿宋_GBK" w:cs="Times New Roman"/>
          <w:sz w:val="32"/>
          <w:szCs w:val="32"/>
          <w:lang w:val="en-US" w:eastAsia="zh-CN"/>
        </w:rPr>
        <w:t>10</w:t>
      </w:r>
      <w:r>
        <w:rPr>
          <w:rFonts w:hint="eastAsia"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 xml:space="preserve">  </w:t>
      </w:r>
      <w:r>
        <w:rPr>
          <w:rFonts w:hint="eastAsia" w:ascii="Times New Roman" w:hAnsi="Times New Roman" w:eastAsia="方正仿宋_GBK" w:cs="Times New Roman"/>
          <w:sz w:val="32"/>
          <w:szCs w:val="32"/>
        </w:rPr>
        <w:t>日</w:t>
      </w:r>
    </w:p>
    <w:p>
      <w:pPr>
        <w:keepNext w:val="0"/>
        <w:keepLines w:val="0"/>
        <w:pageBreakBefore w:val="0"/>
        <w:widowControl w:val="0"/>
        <w:kinsoku/>
        <w:wordWrap/>
        <w:overflowPunct/>
        <w:topLinePunct w:val="0"/>
        <w:autoSpaceDE/>
        <w:autoSpaceDN/>
        <w:bidi w:val="0"/>
        <w:adjustRightInd w:val="0"/>
        <w:snapToGrid w:val="0"/>
        <w:spacing w:line="590" w:lineRule="exact"/>
        <w:ind w:firstLine="0" w:firstLineChars="0"/>
        <w:jc w:val="both"/>
        <w:textAlignment w:val="auto"/>
        <w:rPr>
          <w:rFonts w:hint="default" w:ascii="Times New Roman" w:hAnsi="Times New Roman" w:eastAsia="方正黑体_GBK" w:cs="Times New Roman"/>
          <w:color w:val="000000"/>
          <w:kern w:val="2"/>
          <w:sz w:val="32"/>
          <w:szCs w:val="32"/>
          <w:lang w:val="en-US" w:eastAsia="zh-CN"/>
        </w:rPr>
      </w:pPr>
      <w:r>
        <w:rPr>
          <w:rFonts w:hint="default" w:ascii="Times New Roman" w:hAnsi="Times New Roman" w:eastAsia="方正黑体_GBK" w:cs="Times New Roman"/>
          <w:color w:val="000000"/>
          <w:kern w:val="2"/>
          <w:sz w:val="32"/>
          <w:szCs w:val="32"/>
          <w:lang w:eastAsia="zh-CN"/>
        </w:rPr>
        <w:t>附件</w:t>
      </w:r>
      <w:r>
        <w:rPr>
          <w:rFonts w:hint="eastAsia" w:ascii="Times New Roman" w:hAnsi="Times New Roman" w:eastAsia="方正黑体_GBK" w:cs="Times New Roman"/>
          <w:color w:val="000000"/>
          <w:kern w:val="2"/>
          <w:sz w:val="32"/>
          <w:szCs w:val="32"/>
          <w:lang w:val="en-US" w:eastAsia="zh-CN"/>
        </w:rPr>
        <w:t>1</w:t>
      </w:r>
    </w:p>
    <w:p>
      <w:pPr>
        <w:keepNext w:val="0"/>
        <w:keepLines w:val="0"/>
        <w:pageBreakBefore w:val="0"/>
        <w:widowControl w:val="0"/>
        <w:kinsoku/>
        <w:wordWrap/>
        <w:overflowPunct/>
        <w:topLinePunct w:val="0"/>
        <w:autoSpaceDE/>
        <w:autoSpaceDN/>
        <w:bidi w:val="0"/>
        <w:adjustRightInd w:val="0"/>
        <w:snapToGrid w:val="0"/>
        <w:spacing w:line="590" w:lineRule="exact"/>
        <w:ind w:firstLine="0" w:firstLineChars="0"/>
        <w:jc w:val="both"/>
        <w:textAlignment w:val="auto"/>
        <w:rPr>
          <w:rFonts w:hint="default" w:ascii="Times New Roman" w:hAnsi="Times New Roman" w:cs="Times New Roman"/>
          <w:color w:val="000000"/>
          <w:kern w:val="2"/>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590" w:lineRule="exact"/>
        <w:ind w:firstLine="0" w:firstLineChars="0"/>
        <w:jc w:val="center"/>
        <w:textAlignment w:val="auto"/>
        <w:rPr>
          <w:rFonts w:hint="eastAsia" w:ascii="方正小标宋_GBK" w:hAnsi="Times New Roman" w:eastAsia="方正小标宋_GBK" w:cs="Times New Roman"/>
          <w:kern w:val="2"/>
          <w:sz w:val="44"/>
          <w:szCs w:val="44"/>
        </w:rPr>
      </w:pPr>
      <w:r>
        <w:rPr>
          <w:rFonts w:hint="eastAsia" w:ascii="方正小标宋_GBK" w:hAnsi="Times New Roman" w:eastAsia="方正小标宋_GBK" w:cs="Times New Roman"/>
          <w:kern w:val="2"/>
          <w:sz w:val="44"/>
          <w:szCs w:val="44"/>
          <w:lang w:eastAsia="zh-CN"/>
        </w:rPr>
        <w:t>分配</w:t>
      </w:r>
      <w:r>
        <w:rPr>
          <w:rFonts w:hint="eastAsia" w:ascii="方正小标宋_GBK" w:hAnsi="Times New Roman" w:eastAsia="方正小标宋_GBK" w:cs="Times New Roman"/>
          <w:kern w:val="2"/>
          <w:sz w:val="44"/>
          <w:szCs w:val="44"/>
        </w:rPr>
        <w:t>测算</w:t>
      </w:r>
      <w:r>
        <w:rPr>
          <w:rFonts w:hint="eastAsia" w:ascii="方正小标宋_GBK" w:hAnsi="Times New Roman" w:eastAsia="方正小标宋_GBK" w:cs="Times New Roman"/>
          <w:kern w:val="2"/>
          <w:sz w:val="44"/>
          <w:szCs w:val="44"/>
          <w:lang w:eastAsia="zh-CN"/>
        </w:rPr>
        <w:t>模型及</w:t>
      </w:r>
      <w:r>
        <w:rPr>
          <w:rFonts w:hint="eastAsia" w:ascii="方正小标宋_GBK" w:hAnsi="Times New Roman" w:eastAsia="方正小标宋_GBK" w:cs="Times New Roman"/>
          <w:kern w:val="2"/>
          <w:sz w:val="44"/>
          <w:szCs w:val="44"/>
        </w:rPr>
        <w:t>说明</w:t>
      </w:r>
    </w:p>
    <w:p>
      <w:pPr>
        <w:keepNext w:val="0"/>
        <w:keepLines w:val="0"/>
        <w:pageBreakBefore w:val="0"/>
        <w:kinsoku/>
        <w:wordWrap/>
        <w:overflowPunct/>
        <w:topLinePunct w:val="0"/>
        <w:autoSpaceDE/>
        <w:autoSpaceDN/>
        <w:bidi w:val="0"/>
        <w:spacing w:before="0" w:after="0" w:line="590" w:lineRule="exact"/>
        <w:jc w:val="both"/>
        <w:textAlignment w:val="auto"/>
        <w:rPr>
          <w:rFonts w:hint="eastAsia" w:ascii="方正黑体_GBK" w:hAnsi="方正黑体_GBK" w:eastAsia="方正黑体_GBK" w:cs="方正黑体_GBK"/>
          <w:b w:val="0"/>
          <w:sz w:val="32"/>
        </w:rPr>
      </w:pPr>
    </w:p>
    <w:p>
      <w:pPr>
        <w:keepNext w:val="0"/>
        <w:keepLines w:val="0"/>
        <w:pageBreakBefore w:val="0"/>
        <w:kinsoku/>
        <w:wordWrap/>
        <w:overflowPunct/>
        <w:topLinePunct w:val="0"/>
        <w:autoSpaceDE/>
        <w:autoSpaceDN/>
        <w:bidi w:val="0"/>
        <w:spacing w:before="0" w:after="0" w:line="590" w:lineRule="exact"/>
        <w:ind w:firstLine="640" w:firstLineChars="200"/>
        <w:jc w:val="both"/>
        <w:textAlignment w:val="auto"/>
        <w:rPr>
          <w:rFonts w:hint="eastAsia" w:ascii="Times New Roman" w:hAnsi="Times New Roman" w:eastAsia="方正仿宋_GBK" w:cs="Times New Roman"/>
          <w:b w:val="0"/>
          <w:sz w:val="32"/>
          <w:lang w:eastAsia="zh-CN"/>
        </w:rPr>
      </w:pPr>
      <w:r>
        <w:rPr>
          <w:rFonts w:hint="eastAsia" w:ascii="Times New Roman" w:hAnsi="Times New Roman" w:eastAsia="方正仿宋_GBK" w:cs="Times New Roman"/>
          <w:b w:val="0"/>
          <w:sz w:val="32"/>
        </w:rPr>
        <w:t>为规范全省存量常规水电绿证分配工作，</w:t>
      </w:r>
      <w:r>
        <w:rPr>
          <w:rFonts w:hint="eastAsia" w:ascii="Times New Roman" w:hAnsi="Times New Roman" w:eastAsia="方正仿宋_GBK" w:cs="Times New Roman"/>
          <w:b w:val="0"/>
          <w:sz w:val="32"/>
          <w:lang w:eastAsia="zh-CN"/>
        </w:rPr>
        <w:t>明确</w:t>
      </w:r>
      <w:r>
        <w:rPr>
          <w:rFonts w:hint="eastAsia" w:ascii="Times New Roman" w:hAnsi="Times New Roman" w:eastAsia="方正仿宋_GBK" w:cs="Times New Roman"/>
          <w:b w:val="0"/>
          <w:sz w:val="32"/>
        </w:rPr>
        <w:t>测算标准</w:t>
      </w:r>
      <w:r>
        <w:rPr>
          <w:rFonts w:hint="eastAsia" w:ascii="Times New Roman" w:hAnsi="Times New Roman" w:eastAsia="方正仿宋_GBK" w:cs="Times New Roman"/>
          <w:b w:val="0"/>
          <w:sz w:val="32"/>
          <w:lang w:eastAsia="zh-CN"/>
        </w:rPr>
        <w:t>，</w:t>
      </w:r>
      <w:r>
        <w:rPr>
          <w:rFonts w:hint="eastAsia" w:ascii="Times New Roman" w:hAnsi="Times New Roman" w:eastAsia="方正仿宋_GBK" w:cs="Times New Roman"/>
          <w:b w:val="0"/>
          <w:sz w:val="32"/>
        </w:rPr>
        <w:t>科学合理配置绿证资源，</w:t>
      </w:r>
      <w:r>
        <w:rPr>
          <w:rFonts w:hint="eastAsia" w:ascii="Times New Roman" w:hAnsi="Times New Roman" w:eastAsia="方正仿宋_GBK" w:cs="Times New Roman"/>
          <w:b w:val="0"/>
          <w:sz w:val="32"/>
          <w:lang w:eastAsia="zh-CN"/>
        </w:rPr>
        <w:t>省发展改革委制定本测算</w:t>
      </w:r>
      <w:r>
        <w:rPr>
          <w:rFonts w:hint="eastAsia" w:ascii="Times New Roman" w:hAnsi="Times New Roman" w:eastAsia="方正仿宋_GBK" w:cs="Times New Roman"/>
          <w:b w:val="0"/>
          <w:sz w:val="32"/>
        </w:rPr>
        <w:t>模型，</w:t>
      </w:r>
      <w:r>
        <w:rPr>
          <w:rFonts w:hint="eastAsia" w:ascii="Times New Roman" w:hAnsi="Times New Roman" w:eastAsia="方正仿宋_GBK" w:cs="Times New Roman"/>
          <w:b w:val="0"/>
          <w:sz w:val="32"/>
          <w:lang w:eastAsia="zh-CN"/>
        </w:rPr>
        <w:t>用于</w:t>
      </w:r>
      <w:r>
        <w:rPr>
          <w:rFonts w:hint="eastAsia" w:ascii="Times New Roman" w:hAnsi="Times New Roman" w:eastAsia="方正仿宋_GBK" w:cs="Times New Roman"/>
          <w:b w:val="0"/>
          <w:sz w:val="32"/>
        </w:rPr>
        <w:t>各设区市</w:t>
      </w:r>
      <w:r>
        <w:rPr>
          <w:rFonts w:hint="eastAsia" w:ascii="Times New Roman" w:hAnsi="Times New Roman" w:eastAsia="方正仿宋_GBK" w:cs="Times New Roman"/>
          <w:b w:val="0"/>
          <w:sz w:val="32"/>
          <w:lang w:eastAsia="zh-CN"/>
        </w:rPr>
        <w:t>存量常规水电</w:t>
      </w:r>
      <w:r>
        <w:rPr>
          <w:rFonts w:hint="eastAsia" w:ascii="Times New Roman" w:hAnsi="Times New Roman" w:eastAsia="方正仿宋_GBK" w:cs="Times New Roman"/>
          <w:b w:val="0"/>
          <w:sz w:val="32"/>
        </w:rPr>
        <w:t>绿证</w:t>
      </w:r>
      <w:r>
        <w:rPr>
          <w:rFonts w:hint="eastAsia" w:ascii="Times New Roman" w:hAnsi="Times New Roman" w:eastAsia="方正仿宋_GBK" w:cs="Times New Roman"/>
          <w:b w:val="0"/>
          <w:sz w:val="32"/>
          <w:lang w:eastAsia="zh-CN"/>
        </w:rPr>
        <w:t>分配比例及</w:t>
      </w:r>
      <w:r>
        <w:rPr>
          <w:rFonts w:hint="eastAsia" w:ascii="Times New Roman" w:hAnsi="Times New Roman" w:eastAsia="方正仿宋_GBK" w:cs="Times New Roman"/>
          <w:b w:val="0"/>
          <w:sz w:val="32"/>
        </w:rPr>
        <w:t>额度核定工作</w:t>
      </w:r>
      <w:r>
        <w:rPr>
          <w:rFonts w:hint="eastAsia" w:ascii="Times New Roman" w:hAnsi="Times New Roman" w:eastAsia="方正仿宋_GBK" w:cs="Times New Roman"/>
          <w:b w:val="0"/>
          <w:sz w:val="32"/>
          <w:lang w:eastAsia="zh-CN"/>
        </w:rPr>
        <w:t>。</w:t>
      </w:r>
      <w:r>
        <w:rPr>
          <w:rFonts w:hint="eastAsia" w:ascii="Times New Roman" w:hAnsi="Times New Roman" w:eastAsia="方正仿宋_GBK" w:cs="Times New Roman"/>
          <w:b w:val="0"/>
          <w:sz w:val="32"/>
        </w:rPr>
        <w:t>具体</w:t>
      </w:r>
      <w:r>
        <w:rPr>
          <w:rFonts w:hint="eastAsia" w:ascii="Times New Roman" w:hAnsi="Times New Roman" w:eastAsia="方正仿宋_GBK" w:cs="Times New Roman"/>
          <w:b w:val="0"/>
          <w:sz w:val="32"/>
          <w:lang w:eastAsia="zh-CN"/>
        </w:rPr>
        <w:t>测算模型</w:t>
      </w:r>
      <w:r>
        <w:rPr>
          <w:rFonts w:hint="eastAsia" w:ascii="Times New Roman" w:hAnsi="Times New Roman" w:eastAsia="方正仿宋_GBK" w:cs="Times New Roman"/>
          <w:b w:val="0"/>
          <w:sz w:val="32"/>
        </w:rPr>
        <w:t>及说明如下</w:t>
      </w:r>
      <w:r>
        <w:rPr>
          <w:rFonts w:hint="eastAsia" w:ascii="Times New Roman" w:hAnsi="Times New Roman" w:eastAsia="方正仿宋_GBK" w:cs="Times New Roman"/>
          <w:b w:val="0"/>
          <w:sz w:val="32"/>
          <w:lang w:eastAsia="zh-CN"/>
        </w:rPr>
        <w:t>。</w:t>
      </w:r>
    </w:p>
    <w:p>
      <w:pPr>
        <w:keepNext w:val="0"/>
        <w:keepLines w:val="0"/>
        <w:pageBreakBefore w:val="0"/>
        <w:kinsoku/>
        <w:wordWrap/>
        <w:overflowPunct/>
        <w:topLinePunct w:val="0"/>
        <w:autoSpaceDE/>
        <w:autoSpaceDN/>
        <w:bidi w:val="0"/>
        <w:spacing w:before="0" w:after="0" w:line="590" w:lineRule="exact"/>
        <w:ind w:firstLine="640" w:firstLineChars="200"/>
        <w:jc w:val="both"/>
        <w:textAlignment w:val="auto"/>
        <w:rPr>
          <w:rFonts w:hint="eastAsia" w:ascii="方正黑体_GBK" w:hAnsi="方正黑体_GBK" w:eastAsia="方正黑体_GBK" w:cs="方正黑体_GBK"/>
          <w:b w:val="0"/>
          <w:sz w:val="32"/>
          <w:lang w:eastAsia="zh-CN"/>
        </w:rPr>
      </w:pPr>
      <w:r>
        <w:rPr>
          <w:rFonts w:hint="eastAsia" w:ascii="方正黑体_GBK" w:hAnsi="方正黑体_GBK" w:eastAsia="方正黑体_GBK" w:cs="方正黑体_GBK"/>
          <w:b w:val="0"/>
          <w:sz w:val="32"/>
          <w:lang w:eastAsia="zh-CN"/>
        </w:rPr>
        <w:t>一、数据来源</w:t>
      </w:r>
    </w:p>
    <w:p>
      <w:pPr>
        <w:keepNext w:val="0"/>
        <w:keepLines w:val="0"/>
        <w:pageBreakBefore w:val="0"/>
        <w:widowControl/>
        <w:suppressLineNumbers w:val="0"/>
        <w:kinsoku/>
        <w:wordWrap/>
        <w:overflowPunct/>
        <w:topLinePunct w:val="0"/>
        <w:autoSpaceDE/>
        <w:autoSpaceDN/>
        <w:bidi w:val="0"/>
        <w:spacing w:line="590" w:lineRule="exact"/>
        <w:ind w:firstLine="640" w:firstLineChars="200"/>
        <w:jc w:val="both"/>
        <w:textAlignment w:val="auto"/>
        <w:rPr>
          <w:rFonts w:hint="eastAsia" w:ascii="Times New Roman" w:hAnsi="Times New Roman" w:eastAsia="方正仿宋_GBK" w:cs="Times New Roman"/>
          <w:b w:val="0"/>
          <w:sz w:val="32"/>
          <w:lang w:eastAsia="zh-CN"/>
        </w:rPr>
      </w:pPr>
      <w:r>
        <w:rPr>
          <w:rFonts w:hint="eastAsia" w:ascii="Times New Roman" w:hAnsi="Times New Roman" w:eastAsia="方正仿宋_GBK" w:cs="Times New Roman"/>
          <w:b w:val="0"/>
          <w:sz w:val="32"/>
          <w:lang w:eastAsia="zh-CN"/>
        </w:rPr>
        <w:t>全社会用电量</w:t>
      </w:r>
      <w:r>
        <w:rPr>
          <w:rFonts w:hint="default" w:ascii="Times New Roman" w:hAnsi="Times New Roman" w:eastAsia="方正仿宋_GBK" w:cs="Times New Roman"/>
          <w:b w:val="0"/>
          <w:sz w:val="32"/>
        </w:rPr>
        <w:t>采用</w:t>
      </w:r>
      <w:r>
        <w:rPr>
          <w:rFonts w:hint="eastAsia" w:ascii="Times New Roman" w:hAnsi="Times New Roman" w:eastAsia="方正仿宋_GBK" w:cs="Times New Roman"/>
          <w:b w:val="0"/>
          <w:sz w:val="32"/>
          <w:lang w:eastAsia="zh-CN"/>
        </w:rPr>
        <w:t>省电力公司</w:t>
      </w:r>
      <w:r>
        <w:rPr>
          <w:rFonts w:hint="default" w:ascii="Times New Roman" w:hAnsi="Times New Roman" w:eastAsia="方正仿宋_GBK" w:cs="Times New Roman"/>
          <w:b w:val="0"/>
          <w:sz w:val="32"/>
        </w:rPr>
        <w:t>上年度统计数据</w:t>
      </w:r>
      <w:r>
        <w:rPr>
          <w:rFonts w:hint="eastAsia" w:ascii="Times New Roman" w:hAnsi="Times New Roman" w:eastAsia="方正仿宋_GBK" w:cs="Times New Roman"/>
          <w:b w:val="0"/>
          <w:sz w:val="32"/>
          <w:lang w:eastAsia="zh-CN"/>
        </w:rPr>
        <w:t>。</w:t>
      </w:r>
    </w:p>
    <w:p>
      <w:pPr>
        <w:keepNext w:val="0"/>
        <w:keepLines w:val="0"/>
        <w:pageBreakBefore w:val="0"/>
        <w:kinsoku/>
        <w:wordWrap/>
        <w:overflowPunct/>
        <w:topLinePunct w:val="0"/>
        <w:autoSpaceDE/>
        <w:autoSpaceDN/>
        <w:bidi w:val="0"/>
        <w:spacing w:before="0" w:after="0" w:line="590" w:lineRule="exact"/>
        <w:ind w:firstLine="640" w:firstLineChars="200"/>
        <w:jc w:val="both"/>
        <w:textAlignment w:val="auto"/>
        <w:rPr>
          <w:rFonts w:hint="eastAsia" w:ascii="方正黑体_GBK" w:hAnsi="方正黑体_GBK" w:eastAsia="方正黑体_GBK" w:cs="方正黑体_GBK"/>
        </w:rPr>
      </w:pPr>
      <w:r>
        <w:rPr>
          <w:rFonts w:hint="eastAsia" w:ascii="方正黑体_GBK" w:hAnsi="方正黑体_GBK" w:eastAsia="方正黑体_GBK" w:cs="方正黑体_GBK"/>
          <w:b w:val="0"/>
          <w:sz w:val="32"/>
          <w:lang w:eastAsia="zh-CN"/>
        </w:rPr>
        <w:t>二</w:t>
      </w:r>
      <w:r>
        <w:rPr>
          <w:rFonts w:hint="eastAsia" w:ascii="方正黑体_GBK" w:hAnsi="方正黑体_GBK" w:eastAsia="方正黑体_GBK" w:cs="方正黑体_GBK"/>
          <w:b w:val="0"/>
          <w:sz w:val="32"/>
        </w:rPr>
        <w:t>、测算模型</w:t>
      </w:r>
    </w:p>
    <w:p>
      <w:pPr>
        <w:keepNext w:val="0"/>
        <w:keepLines w:val="0"/>
        <w:pageBreakBefore w:val="0"/>
        <w:kinsoku/>
        <w:wordWrap/>
        <w:overflowPunct/>
        <w:topLinePunct w:val="0"/>
        <w:autoSpaceDE/>
        <w:autoSpaceDN/>
        <w:bidi w:val="0"/>
        <w:spacing w:before="0" w:after="0" w:line="590" w:lineRule="exact"/>
        <w:ind w:firstLine="640" w:firstLineChars="200"/>
        <w:jc w:val="both"/>
        <w:textAlignment w:val="auto"/>
        <w:rPr>
          <w:rFonts w:hint="eastAsia" w:ascii="方正楷体_GBK" w:hAnsi="方正楷体_GBK" w:eastAsia="方正楷体_GBK" w:cs="方正楷体_GBK"/>
          <w:b w:val="0"/>
          <w:sz w:val="32"/>
        </w:rPr>
      </w:pPr>
      <w:r>
        <w:rPr>
          <w:rFonts w:hint="eastAsia" w:ascii="方正楷体_GBK" w:hAnsi="方正楷体_GBK" w:eastAsia="方正楷体_GBK" w:cs="方正楷体_GBK"/>
          <w:b w:val="0"/>
          <w:sz w:val="32"/>
        </w:rPr>
        <w:t>（一）设区市</w:t>
      </w:r>
      <w:r>
        <w:rPr>
          <w:rFonts w:hint="eastAsia" w:ascii="方正楷体_GBK" w:hAnsi="方正楷体_GBK" w:eastAsia="方正楷体_GBK" w:cs="方正楷体_GBK"/>
          <w:b w:val="0"/>
          <w:sz w:val="32"/>
          <w:lang w:eastAsia="zh-CN"/>
        </w:rPr>
        <w:t>年度分配比例</w:t>
      </w:r>
    </w:p>
    <w:p>
      <w:pPr>
        <w:keepNext w:val="0"/>
        <w:keepLines w:val="0"/>
        <w:pageBreakBefore w:val="0"/>
        <w:kinsoku/>
        <w:wordWrap/>
        <w:overflowPunct/>
        <w:topLinePunct w:val="0"/>
        <w:autoSpaceDE/>
        <w:autoSpaceDN/>
        <w:bidi w:val="0"/>
        <w:spacing w:before="0" w:after="0" w:line="590" w:lineRule="exact"/>
        <w:ind w:firstLine="640" w:firstLineChars="200"/>
        <w:jc w:val="both"/>
        <w:textAlignment w:val="auto"/>
        <w:rPr>
          <w:rFonts w:hint="default" w:ascii="Times New Roman" w:hAnsi="Times New Roman" w:eastAsia="方正仿宋_GBK" w:cs="Times New Roman"/>
          <w:b w:val="0"/>
          <w:sz w:val="32"/>
        </w:rPr>
      </w:pPr>
      <w:r>
        <w:rPr>
          <w:rFonts w:hint="default" w:ascii="Times New Roman" w:hAnsi="Times New Roman" w:eastAsia="方正仿宋_GBK" w:cs="Times New Roman"/>
          <w:b w:val="0"/>
          <w:sz w:val="32"/>
        </w:rPr>
        <w:t>R</w:t>
      </w:r>
      <w:r>
        <w:rPr>
          <w:rFonts w:hint="default" w:ascii="Times New Roman" w:hAnsi="Times New Roman" w:eastAsia="方正仿宋_GBK" w:cs="Times New Roman"/>
          <w:b w:val="0"/>
          <w:sz w:val="32"/>
          <w:vertAlign w:val="subscript"/>
        </w:rPr>
        <w:t>i</w:t>
      </w:r>
      <w:r>
        <w:rPr>
          <w:rFonts w:hint="default" w:ascii="Times New Roman" w:hAnsi="Times New Roman" w:eastAsia="方正仿宋_GBK" w:cs="Times New Roman"/>
          <w:b w:val="0"/>
          <w:sz w:val="32"/>
        </w:rPr>
        <w:t>＝E</w:t>
      </w:r>
      <w:r>
        <w:rPr>
          <w:rFonts w:hint="default" w:ascii="Times New Roman" w:hAnsi="Times New Roman" w:eastAsia="方正仿宋_GBK" w:cs="Times New Roman"/>
          <w:b w:val="0"/>
          <w:sz w:val="32"/>
          <w:vertAlign w:val="subscript"/>
        </w:rPr>
        <w:t>i</w:t>
      </w:r>
      <w:r>
        <w:rPr>
          <w:rFonts w:hint="default" w:ascii="Times New Roman" w:hAnsi="Times New Roman" w:eastAsia="方正仿宋_GBK" w:cs="Times New Roman"/>
          <w:b w:val="0"/>
          <w:sz w:val="32"/>
        </w:rPr>
        <w:t>/E</w:t>
      </w:r>
      <w:r>
        <w:rPr>
          <w:rFonts w:hint="default" w:ascii="Times New Roman" w:hAnsi="Times New Roman" w:eastAsia="方正仿宋_GBK" w:cs="Times New Roman"/>
          <w:b w:val="0"/>
          <w:sz w:val="32"/>
          <w:vertAlign w:val="subscript"/>
        </w:rPr>
        <w:t>总</w:t>
      </w:r>
    </w:p>
    <w:p>
      <w:pPr>
        <w:keepNext w:val="0"/>
        <w:keepLines w:val="0"/>
        <w:pageBreakBefore w:val="0"/>
        <w:kinsoku/>
        <w:wordWrap/>
        <w:overflowPunct/>
        <w:topLinePunct w:val="0"/>
        <w:autoSpaceDE/>
        <w:autoSpaceDN/>
        <w:bidi w:val="0"/>
        <w:spacing w:before="0" w:after="0" w:line="590" w:lineRule="exact"/>
        <w:ind w:firstLine="640" w:firstLineChars="200"/>
        <w:jc w:val="both"/>
        <w:textAlignment w:val="auto"/>
        <w:rPr>
          <w:rFonts w:hint="eastAsia" w:ascii="Times New Roman" w:hAnsi="Times New Roman" w:eastAsia="方正仿宋_GBK" w:cs="Times New Roman"/>
          <w:lang w:eastAsia="zh-CN"/>
        </w:rPr>
      </w:pPr>
      <w:r>
        <w:rPr>
          <w:rFonts w:hint="default" w:ascii="Times New Roman" w:hAnsi="Times New Roman" w:eastAsia="方正仿宋_GBK" w:cs="Times New Roman"/>
          <w:b w:val="0"/>
          <w:sz w:val="32"/>
        </w:rPr>
        <w:t>其中，R</w:t>
      </w:r>
      <w:r>
        <w:rPr>
          <w:rFonts w:hint="default" w:ascii="Times New Roman" w:hAnsi="Times New Roman" w:eastAsia="方正仿宋_GBK" w:cs="Times New Roman"/>
          <w:b w:val="0"/>
          <w:sz w:val="32"/>
          <w:vertAlign w:val="subscript"/>
        </w:rPr>
        <w:t>i</w:t>
      </w:r>
      <w:r>
        <w:rPr>
          <w:rFonts w:hint="default" w:ascii="Times New Roman" w:hAnsi="Times New Roman" w:eastAsia="方正仿宋_GBK" w:cs="Times New Roman"/>
          <w:b w:val="0"/>
          <w:sz w:val="32"/>
        </w:rPr>
        <w:t>为</w:t>
      </w:r>
      <w:r>
        <w:rPr>
          <w:rFonts w:hint="eastAsia" w:ascii="Times New Roman" w:hAnsi="Times New Roman" w:eastAsia="方正仿宋_GBK" w:cs="Times New Roman"/>
          <w:b w:val="0"/>
          <w:sz w:val="32"/>
          <w:lang w:eastAsia="zh-CN"/>
        </w:rPr>
        <w:t>某</w:t>
      </w:r>
      <w:r>
        <w:rPr>
          <w:rFonts w:hint="default" w:ascii="Times New Roman" w:hAnsi="Times New Roman" w:eastAsia="方正仿宋_GBK" w:cs="Times New Roman"/>
          <w:b w:val="0"/>
          <w:sz w:val="32"/>
        </w:rPr>
        <w:t>设区市</w:t>
      </w:r>
      <w:r>
        <w:rPr>
          <w:rFonts w:hint="eastAsia" w:ascii="Times New Roman" w:hAnsi="Times New Roman" w:eastAsia="方正仿宋_GBK" w:cs="Times New Roman"/>
          <w:b w:val="0"/>
          <w:sz w:val="32"/>
          <w:lang w:eastAsia="zh-CN"/>
        </w:rPr>
        <w:t>本年度存量常规水电绿证分配比例</w:t>
      </w:r>
      <w:r>
        <w:rPr>
          <w:rFonts w:hint="default" w:ascii="Times New Roman" w:hAnsi="Times New Roman" w:eastAsia="方正仿宋_GBK" w:cs="Times New Roman"/>
          <w:b w:val="0"/>
          <w:sz w:val="32"/>
        </w:rPr>
        <w:t>；E</w:t>
      </w:r>
      <w:r>
        <w:rPr>
          <w:rFonts w:hint="default" w:ascii="Times New Roman" w:hAnsi="Times New Roman" w:eastAsia="方正仿宋_GBK" w:cs="Times New Roman"/>
          <w:b w:val="0"/>
          <w:sz w:val="32"/>
          <w:vertAlign w:val="subscript"/>
        </w:rPr>
        <w:t>i</w:t>
      </w:r>
      <w:r>
        <w:rPr>
          <w:rFonts w:hint="default" w:ascii="Times New Roman" w:hAnsi="Times New Roman" w:eastAsia="方正仿宋_GBK" w:cs="Times New Roman"/>
          <w:b w:val="0"/>
          <w:sz w:val="32"/>
        </w:rPr>
        <w:t>、E</w:t>
      </w:r>
      <w:r>
        <w:rPr>
          <w:rFonts w:hint="default" w:ascii="Times New Roman" w:hAnsi="Times New Roman" w:eastAsia="方正仿宋_GBK" w:cs="Times New Roman"/>
          <w:b w:val="0"/>
          <w:sz w:val="32"/>
          <w:vertAlign w:val="subscript"/>
        </w:rPr>
        <w:t>总</w:t>
      </w:r>
      <w:r>
        <w:rPr>
          <w:rFonts w:hint="default" w:ascii="Times New Roman" w:hAnsi="Times New Roman" w:eastAsia="方正仿宋_GBK" w:cs="Times New Roman"/>
          <w:b w:val="0"/>
          <w:sz w:val="32"/>
        </w:rPr>
        <w:t>分别为</w:t>
      </w:r>
      <w:r>
        <w:rPr>
          <w:rFonts w:hint="eastAsia" w:ascii="Times New Roman" w:hAnsi="Times New Roman" w:eastAsia="方正仿宋_GBK" w:cs="Times New Roman"/>
          <w:b w:val="0"/>
          <w:sz w:val="32"/>
          <w:lang w:eastAsia="zh-CN"/>
        </w:rPr>
        <w:t>某</w:t>
      </w:r>
      <w:r>
        <w:rPr>
          <w:rFonts w:hint="default" w:ascii="Times New Roman" w:hAnsi="Times New Roman" w:eastAsia="方正仿宋_GBK" w:cs="Times New Roman"/>
          <w:b w:val="0"/>
          <w:sz w:val="32"/>
        </w:rPr>
        <w:t>设区市和全省上年度全社会用电量，反映区域</w:t>
      </w:r>
      <w:r>
        <w:rPr>
          <w:rFonts w:hint="eastAsia" w:ascii="Times New Roman" w:hAnsi="Times New Roman" w:eastAsia="方正仿宋_GBK" w:cs="Times New Roman"/>
          <w:b w:val="0"/>
          <w:sz w:val="32"/>
          <w:lang w:eastAsia="zh-CN"/>
        </w:rPr>
        <w:t>电力</w:t>
      </w:r>
      <w:r>
        <w:rPr>
          <w:rFonts w:hint="default" w:ascii="Times New Roman" w:hAnsi="Times New Roman" w:eastAsia="方正仿宋_GBK" w:cs="Times New Roman"/>
          <w:b w:val="0"/>
          <w:sz w:val="32"/>
        </w:rPr>
        <w:t>消费总量</w:t>
      </w:r>
      <w:r>
        <w:rPr>
          <w:rFonts w:hint="eastAsia" w:ascii="Times New Roman" w:hAnsi="Times New Roman" w:eastAsia="方正仿宋_GBK" w:cs="Times New Roman"/>
          <w:b w:val="0"/>
          <w:sz w:val="32"/>
          <w:lang w:eastAsia="zh-CN"/>
        </w:rPr>
        <w:t>，体现区域用能需求</w:t>
      </w:r>
      <w:r>
        <w:rPr>
          <w:rFonts w:hint="default" w:ascii="Times New Roman" w:hAnsi="Times New Roman" w:eastAsia="方正仿宋_GBK" w:cs="Times New Roman"/>
          <w:b w:val="0"/>
          <w:sz w:val="32"/>
        </w:rPr>
        <w:t>。</w:t>
      </w:r>
    </w:p>
    <w:p>
      <w:pPr>
        <w:keepNext w:val="0"/>
        <w:keepLines w:val="0"/>
        <w:pageBreakBefore w:val="0"/>
        <w:kinsoku/>
        <w:wordWrap/>
        <w:overflowPunct/>
        <w:topLinePunct w:val="0"/>
        <w:autoSpaceDE/>
        <w:autoSpaceDN/>
        <w:bidi w:val="0"/>
        <w:spacing w:before="0" w:after="0" w:line="590" w:lineRule="exact"/>
        <w:ind w:firstLine="640" w:firstLineChars="200"/>
        <w:jc w:val="both"/>
        <w:textAlignment w:val="auto"/>
      </w:pPr>
      <w:r>
        <w:rPr>
          <w:rFonts w:ascii="方正楷体_GBK" w:hAnsi="方正楷体_GBK" w:eastAsia="方正楷体_GBK"/>
          <w:b w:val="0"/>
          <w:sz w:val="32"/>
        </w:rPr>
        <w:t>（</w:t>
      </w:r>
      <w:r>
        <w:rPr>
          <w:rFonts w:hint="eastAsia" w:ascii="方正楷体_GBK" w:hAnsi="方正楷体_GBK" w:eastAsia="方正楷体_GBK"/>
          <w:b w:val="0"/>
          <w:sz w:val="32"/>
          <w:lang w:eastAsia="zh-CN"/>
        </w:rPr>
        <w:t>二</w:t>
      </w:r>
      <w:r>
        <w:rPr>
          <w:rFonts w:ascii="方正楷体_GBK" w:hAnsi="方正楷体_GBK" w:eastAsia="方正楷体_GBK"/>
          <w:b w:val="0"/>
          <w:sz w:val="32"/>
        </w:rPr>
        <w:t>）</w:t>
      </w:r>
      <w:r>
        <w:rPr>
          <w:rFonts w:hint="eastAsia" w:ascii="方正楷体_GBK" w:hAnsi="方正楷体_GBK" w:eastAsia="方正楷体_GBK"/>
          <w:b w:val="0"/>
          <w:sz w:val="32"/>
          <w:lang w:eastAsia="zh-CN"/>
        </w:rPr>
        <w:t>各设区市</w:t>
      </w:r>
      <w:r>
        <w:rPr>
          <w:rFonts w:ascii="方正楷体_GBK" w:hAnsi="方正楷体_GBK" w:eastAsia="方正楷体_GBK"/>
          <w:b w:val="0"/>
          <w:sz w:val="32"/>
        </w:rPr>
        <w:t>年度可分配绿证额度</w:t>
      </w:r>
    </w:p>
    <w:p>
      <w:pPr>
        <w:keepNext w:val="0"/>
        <w:keepLines w:val="0"/>
        <w:pageBreakBefore w:val="0"/>
        <w:kinsoku/>
        <w:wordWrap/>
        <w:overflowPunct/>
        <w:topLinePunct w:val="0"/>
        <w:autoSpaceDE/>
        <w:autoSpaceDN/>
        <w:bidi w:val="0"/>
        <w:spacing w:before="0" w:after="0" w:line="590" w:lineRule="exact"/>
        <w:ind w:firstLine="640" w:firstLineChars="200"/>
        <w:jc w:val="both"/>
        <w:textAlignment w:val="auto"/>
        <w:rPr>
          <w:rFonts w:hint="default" w:ascii="Times New Roman" w:hAnsi="Times New Roman" w:eastAsia="方正仿宋_GBK" w:cs="Times New Roman"/>
          <w:b w:val="0"/>
          <w:sz w:val="32"/>
          <w:lang w:val="en-US" w:eastAsia="zh-CN"/>
        </w:rPr>
      </w:pPr>
      <w:r>
        <w:rPr>
          <w:rFonts w:hint="default" w:ascii="Times New Roman" w:hAnsi="Times New Roman" w:eastAsia="方正仿宋_GBK" w:cs="Times New Roman"/>
          <w:b w:val="0"/>
          <w:sz w:val="32"/>
        </w:rPr>
        <w:t>Q</w:t>
      </w:r>
      <w:r>
        <w:rPr>
          <w:rFonts w:hint="default" w:ascii="Times New Roman" w:hAnsi="Times New Roman" w:eastAsia="方正仿宋_GBK" w:cs="Times New Roman"/>
          <w:b w:val="0"/>
          <w:sz w:val="32"/>
          <w:vertAlign w:val="subscript"/>
        </w:rPr>
        <w:t>i</w:t>
      </w:r>
      <w:r>
        <w:rPr>
          <w:rFonts w:hint="default" w:ascii="Times New Roman" w:hAnsi="Times New Roman" w:eastAsia="方正仿宋_GBK" w:cs="Times New Roman"/>
          <w:b w:val="0"/>
          <w:sz w:val="32"/>
        </w:rPr>
        <w:t>＝Q</w:t>
      </w:r>
      <w:r>
        <w:rPr>
          <w:rFonts w:hint="default" w:ascii="Times New Roman" w:hAnsi="Times New Roman" w:eastAsia="方正仿宋_GBK" w:cs="Times New Roman"/>
          <w:b w:val="0"/>
          <w:sz w:val="32"/>
          <w:vertAlign w:val="subscript"/>
        </w:rPr>
        <w:t>总</w:t>
      </w:r>
      <w:r>
        <w:rPr>
          <w:rFonts w:hint="default" w:ascii="Times New Roman" w:hAnsi="Times New Roman" w:eastAsia="方正仿宋_GBK" w:cs="Times New Roman"/>
          <w:b w:val="0"/>
          <w:sz w:val="32"/>
        </w:rPr>
        <w:t>×R</w:t>
      </w:r>
      <w:r>
        <w:rPr>
          <w:rFonts w:hint="default" w:ascii="Times New Roman" w:hAnsi="Times New Roman" w:eastAsia="方正仿宋_GBK" w:cs="Times New Roman"/>
          <w:b w:val="0"/>
          <w:sz w:val="32"/>
          <w:vertAlign w:val="subscript"/>
        </w:rPr>
        <w:t>i</w:t>
      </w:r>
      <w:r>
        <w:rPr>
          <w:rFonts w:hint="default" w:ascii="Times New Roman" w:hAnsi="Times New Roman" w:eastAsia="方正仿宋_GBK" w:cs="Times New Roman"/>
          <w:b w:val="0"/>
          <w:sz w:val="32"/>
        </w:rPr>
        <w:t>。其中，Q</w:t>
      </w:r>
      <w:r>
        <w:rPr>
          <w:rFonts w:hint="default" w:ascii="Times New Roman" w:hAnsi="Times New Roman" w:eastAsia="方正仿宋_GBK" w:cs="Times New Roman"/>
          <w:b w:val="0"/>
          <w:sz w:val="32"/>
          <w:vertAlign w:val="subscript"/>
        </w:rPr>
        <w:t>总</w:t>
      </w:r>
      <w:r>
        <w:rPr>
          <w:rFonts w:hint="default" w:ascii="Times New Roman" w:hAnsi="Times New Roman" w:eastAsia="方正仿宋_GBK" w:cs="Times New Roman"/>
          <w:b w:val="0"/>
          <w:sz w:val="32"/>
        </w:rPr>
        <w:t>为省级</w:t>
      </w:r>
      <w:r>
        <w:rPr>
          <w:rFonts w:hint="default" w:ascii="Times New Roman" w:hAnsi="Times New Roman" w:eastAsia="方正仿宋_GBK" w:cs="Times New Roman"/>
          <w:b w:val="0"/>
          <w:sz w:val="32"/>
          <w:lang w:eastAsia="zh-CN"/>
        </w:rPr>
        <w:t>绿证</w:t>
      </w:r>
      <w:r>
        <w:rPr>
          <w:rFonts w:hint="default" w:ascii="Times New Roman" w:hAnsi="Times New Roman" w:eastAsia="方正仿宋_GBK" w:cs="Times New Roman"/>
          <w:b w:val="0"/>
          <w:sz w:val="32"/>
        </w:rPr>
        <w:t>账户</w:t>
      </w:r>
      <w:r>
        <w:rPr>
          <w:rFonts w:hint="eastAsia" w:ascii="Times New Roman" w:hAnsi="Times New Roman" w:eastAsia="方正仿宋_GBK" w:cs="Times New Roman"/>
          <w:b w:val="0"/>
          <w:sz w:val="32"/>
          <w:lang w:eastAsia="zh-CN"/>
        </w:rPr>
        <w:t>本年度</w:t>
      </w:r>
      <w:r>
        <w:rPr>
          <w:rFonts w:hint="default" w:ascii="Times New Roman" w:hAnsi="Times New Roman" w:eastAsia="方正仿宋_GBK" w:cs="Times New Roman"/>
          <w:b w:val="0"/>
          <w:sz w:val="32"/>
        </w:rPr>
        <w:t>可分配存量常规水电绿证总量</w:t>
      </w:r>
      <w:r>
        <w:rPr>
          <w:rFonts w:hint="eastAsia" w:ascii="Times New Roman" w:hAnsi="Times New Roman" w:eastAsia="方正仿宋_GBK" w:cs="Times New Roman"/>
          <w:b w:val="0"/>
          <w:sz w:val="32"/>
          <w:lang w:eastAsia="zh-CN"/>
        </w:rPr>
        <w:t>，确定方式为存量常规水电绿证分配比例核定月（含当月）至下一年度比例核定月的存量常规水电绿证数量，上述数量以国家绿证核发交易平台数据为准</w:t>
      </w:r>
      <w:r>
        <w:rPr>
          <w:rFonts w:hint="default" w:ascii="Times New Roman" w:hAnsi="Times New Roman" w:eastAsia="方正仿宋_GBK" w:cs="Times New Roman"/>
          <w:b w:val="0"/>
          <w:sz w:val="32"/>
        </w:rPr>
        <w:t>；Q</w:t>
      </w:r>
      <w:r>
        <w:rPr>
          <w:rFonts w:hint="default" w:ascii="Times New Roman" w:hAnsi="Times New Roman" w:eastAsia="方正仿宋_GBK" w:cs="Times New Roman"/>
          <w:b w:val="0"/>
          <w:sz w:val="32"/>
          <w:vertAlign w:val="subscript"/>
        </w:rPr>
        <w:t>i</w:t>
      </w:r>
      <w:r>
        <w:rPr>
          <w:rFonts w:hint="default" w:ascii="Times New Roman" w:hAnsi="Times New Roman" w:eastAsia="方正仿宋_GBK" w:cs="Times New Roman"/>
          <w:b w:val="0"/>
          <w:sz w:val="32"/>
        </w:rPr>
        <w:t>为</w:t>
      </w:r>
      <w:r>
        <w:rPr>
          <w:rFonts w:hint="eastAsia" w:ascii="Times New Roman" w:hAnsi="Times New Roman" w:eastAsia="方正仿宋_GBK" w:cs="Times New Roman"/>
          <w:b w:val="0"/>
          <w:sz w:val="32"/>
          <w:lang w:eastAsia="zh-CN"/>
        </w:rPr>
        <w:t>某</w:t>
      </w:r>
      <w:r>
        <w:rPr>
          <w:rFonts w:hint="default" w:ascii="Times New Roman" w:hAnsi="Times New Roman" w:eastAsia="方正仿宋_GBK" w:cs="Times New Roman"/>
          <w:b w:val="0"/>
          <w:sz w:val="32"/>
        </w:rPr>
        <w:t>设区市</w:t>
      </w:r>
      <w:r>
        <w:rPr>
          <w:rFonts w:hint="eastAsia" w:ascii="Times New Roman" w:hAnsi="Times New Roman" w:eastAsia="方正仿宋_GBK" w:cs="Times New Roman"/>
          <w:b w:val="0"/>
          <w:sz w:val="32"/>
          <w:lang w:eastAsia="zh-CN"/>
        </w:rPr>
        <w:t>本</w:t>
      </w:r>
      <w:r>
        <w:rPr>
          <w:rFonts w:hint="default" w:ascii="Times New Roman" w:hAnsi="Times New Roman" w:eastAsia="方正仿宋_GBK" w:cs="Times New Roman"/>
          <w:b w:val="0"/>
          <w:sz w:val="32"/>
        </w:rPr>
        <w:t>年度可分配绿证额度。</w:t>
      </w:r>
    </w:p>
    <w:p>
      <w:pPr>
        <w:keepNext w:val="0"/>
        <w:keepLines w:val="0"/>
        <w:pageBreakBefore w:val="0"/>
        <w:kinsoku/>
        <w:wordWrap/>
        <w:overflowPunct/>
        <w:topLinePunct w:val="0"/>
        <w:autoSpaceDE/>
        <w:autoSpaceDN/>
        <w:bidi w:val="0"/>
        <w:spacing w:line="590" w:lineRule="exact"/>
        <w:ind w:firstLine="640" w:firstLineChars="200"/>
        <w:jc w:val="right"/>
        <w:textAlignment w:val="auto"/>
        <w:rPr>
          <w:rFonts w:hint="eastAsia" w:ascii="Times New Roman" w:hAnsi="Times New Roman" w:eastAsia="方正仿宋_GBK" w:cs="Times New Roman"/>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90" w:lineRule="exact"/>
        <w:ind w:firstLine="0" w:firstLineChars="0"/>
        <w:jc w:val="both"/>
        <w:textAlignment w:val="auto"/>
        <w:rPr>
          <w:rFonts w:hint="default" w:ascii="Times New Roman" w:hAnsi="Times New Roman" w:eastAsia="方正黑体_GBK" w:cs="Times New Roman"/>
          <w:color w:val="000000"/>
          <w:kern w:val="2"/>
          <w:sz w:val="32"/>
          <w:szCs w:val="32"/>
          <w:lang w:val="en-US" w:eastAsia="zh-CN"/>
        </w:rPr>
      </w:pPr>
      <w:r>
        <w:rPr>
          <w:rFonts w:hint="default" w:ascii="Times New Roman" w:hAnsi="Times New Roman" w:eastAsia="方正黑体_GBK" w:cs="Times New Roman"/>
          <w:color w:val="000000"/>
          <w:kern w:val="2"/>
          <w:sz w:val="32"/>
          <w:szCs w:val="32"/>
          <w:lang w:eastAsia="zh-CN"/>
        </w:rPr>
        <w:t>附件</w:t>
      </w:r>
      <w:r>
        <w:rPr>
          <w:rFonts w:hint="eastAsia" w:ascii="Times New Roman" w:hAnsi="Times New Roman" w:eastAsia="方正黑体_GBK" w:cs="Times New Roman"/>
          <w:color w:val="000000"/>
          <w:kern w:val="2"/>
          <w:sz w:val="32"/>
          <w:szCs w:val="32"/>
          <w:lang w:val="en-US" w:eastAsia="zh-CN"/>
        </w:rPr>
        <w:t>2</w:t>
      </w:r>
    </w:p>
    <w:p>
      <w:pPr>
        <w:keepNext w:val="0"/>
        <w:keepLines w:val="0"/>
        <w:pageBreakBefore w:val="0"/>
        <w:widowControl w:val="0"/>
        <w:kinsoku/>
        <w:wordWrap/>
        <w:overflowPunct/>
        <w:topLinePunct w:val="0"/>
        <w:autoSpaceDE/>
        <w:autoSpaceDN/>
        <w:bidi w:val="0"/>
        <w:adjustRightInd w:val="0"/>
        <w:snapToGrid w:val="0"/>
        <w:spacing w:line="590" w:lineRule="exact"/>
        <w:ind w:firstLine="0" w:firstLineChars="0"/>
        <w:jc w:val="both"/>
        <w:textAlignment w:val="auto"/>
        <w:rPr>
          <w:rFonts w:hint="default" w:ascii="Times New Roman" w:hAnsi="Times New Roman" w:cs="Times New Roman"/>
          <w:color w:val="000000"/>
          <w:kern w:val="2"/>
          <w:szCs w:val="24"/>
          <w:lang w:val="en-US" w:eastAsia="zh-CN"/>
        </w:rPr>
      </w:pPr>
    </w:p>
    <w:p>
      <w:pPr>
        <w:keepNext w:val="0"/>
        <w:keepLines w:val="0"/>
        <w:pageBreakBefore w:val="0"/>
        <w:kinsoku/>
        <w:wordWrap/>
        <w:overflowPunct/>
        <w:topLinePunct w:val="0"/>
        <w:autoSpaceDE/>
        <w:autoSpaceDN/>
        <w:bidi w:val="0"/>
        <w:spacing w:line="590" w:lineRule="exact"/>
        <w:jc w:val="center"/>
        <w:textAlignment w:val="auto"/>
        <w:rPr>
          <w:rFonts w:hint="eastAsia" w:ascii="方正小标宋_GBK" w:hAnsi="Times New Roman" w:eastAsia="方正小标宋_GBK" w:cs="Times New Roman"/>
          <w:kern w:val="2"/>
          <w:sz w:val="44"/>
          <w:szCs w:val="44"/>
          <w:lang w:eastAsia="zh-CN"/>
        </w:rPr>
      </w:pPr>
      <w:r>
        <w:rPr>
          <w:rFonts w:hint="eastAsia" w:ascii="方正小标宋_GBK" w:hAnsi="Times New Roman" w:eastAsia="方正小标宋_GBK" w:cs="Times New Roman"/>
          <w:kern w:val="2"/>
          <w:sz w:val="44"/>
          <w:szCs w:val="44"/>
        </w:rPr>
        <w:t>存量常规水电绿证</w:t>
      </w:r>
      <w:r>
        <w:rPr>
          <w:rFonts w:hint="eastAsia" w:ascii="方正小标宋_GBK" w:hAnsi="Times New Roman" w:eastAsia="方正小标宋_GBK" w:cs="Times New Roman"/>
          <w:kern w:val="2"/>
          <w:sz w:val="44"/>
          <w:szCs w:val="44"/>
          <w:lang w:eastAsia="zh-CN"/>
        </w:rPr>
        <w:t>分配</w:t>
      </w:r>
      <w:r>
        <w:rPr>
          <w:rFonts w:hint="eastAsia" w:ascii="方正小标宋_GBK" w:hAnsi="Times New Roman" w:eastAsia="方正小标宋_GBK" w:cs="Times New Roman"/>
          <w:kern w:val="2"/>
          <w:sz w:val="44"/>
          <w:szCs w:val="44"/>
        </w:rPr>
        <w:t>划转</w:t>
      </w:r>
      <w:r>
        <w:rPr>
          <w:rFonts w:hint="eastAsia" w:ascii="方正小标宋_GBK" w:hAnsi="Times New Roman" w:eastAsia="方正小标宋_GBK" w:cs="Times New Roman"/>
          <w:kern w:val="2"/>
          <w:sz w:val="44"/>
          <w:szCs w:val="44"/>
          <w:lang w:eastAsia="zh-CN"/>
        </w:rPr>
        <w:t>流程</w:t>
      </w:r>
    </w:p>
    <w:p>
      <w:pPr>
        <w:keepNext w:val="0"/>
        <w:keepLines w:val="0"/>
        <w:pageBreakBefore w:val="0"/>
        <w:kinsoku/>
        <w:wordWrap/>
        <w:overflowPunct/>
        <w:topLinePunct w:val="0"/>
        <w:autoSpaceDE/>
        <w:autoSpaceDN/>
        <w:bidi w:val="0"/>
        <w:spacing w:line="590" w:lineRule="exact"/>
        <w:jc w:val="both"/>
        <w:textAlignment w:val="auto"/>
        <w:rPr>
          <w:rFonts w:hint="eastAsia" w:ascii="方正小标宋_GBK" w:hAnsi="Times New Roman" w:eastAsia="方正小标宋_GBK" w:cs="Times New Roman"/>
          <w:kern w:val="2"/>
          <w:sz w:val="44"/>
          <w:szCs w:val="44"/>
        </w:rPr>
      </w:pPr>
    </w:p>
    <w:p>
      <w:pPr>
        <w:keepNext w:val="0"/>
        <w:keepLines w:val="0"/>
        <w:pageBreakBefore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省级绿证账户中的存量常规水电绿证额度先分配给各设区市，再由各设区市</w:t>
      </w:r>
      <w:r>
        <w:rPr>
          <w:rFonts w:hint="eastAsia" w:ascii="Times New Roman" w:hAnsi="Times New Roman" w:eastAsia="方正仿宋_GBK" w:cs="Times New Roman"/>
          <w:sz w:val="32"/>
          <w:szCs w:val="32"/>
        </w:rPr>
        <w:t>核定</w:t>
      </w:r>
      <w:r>
        <w:rPr>
          <w:rFonts w:hint="eastAsia" w:ascii="Times New Roman" w:hAnsi="Times New Roman" w:eastAsia="方正仿宋_GBK" w:cs="Times New Roman"/>
          <w:sz w:val="32"/>
          <w:szCs w:val="32"/>
          <w:lang w:eastAsia="zh-CN"/>
        </w:rPr>
        <w:t>明确用户</w:t>
      </w:r>
      <w:r>
        <w:rPr>
          <w:rFonts w:hint="eastAsia" w:ascii="Times New Roman" w:hAnsi="Times New Roman" w:eastAsia="方正仿宋_GBK" w:cs="Times New Roman"/>
          <w:sz w:val="32"/>
          <w:szCs w:val="32"/>
        </w:rPr>
        <w:t>分配额度</w:t>
      </w:r>
      <w:r>
        <w:rPr>
          <w:rFonts w:hint="eastAsia" w:ascii="Times New Roman" w:hAnsi="Times New Roman" w:eastAsia="方正仿宋_GBK" w:cs="Times New Roman"/>
          <w:sz w:val="32"/>
          <w:szCs w:val="32"/>
          <w:lang w:eastAsia="zh-CN"/>
        </w:rPr>
        <w:t>，最终</w:t>
      </w:r>
      <w:r>
        <w:rPr>
          <w:rFonts w:hint="eastAsia" w:ascii="Times New Roman" w:hAnsi="Times New Roman" w:eastAsia="方正仿宋_GBK" w:cs="Times New Roman"/>
          <w:sz w:val="32"/>
          <w:szCs w:val="32"/>
        </w:rPr>
        <w:t>划转至</w:t>
      </w:r>
      <w:r>
        <w:rPr>
          <w:rFonts w:hint="eastAsia" w:ascii="Times New Roman" w:hAnsi="Times New Roman" w:eastAsia="方正仿宋_GBK" w:cs="Times New Roman"/>
          <w:sz w:val="32"/>
          <w:szCs w:val="32"/>
          <w:lang w:eastAsia="zh-CN"/>
        </w:rPr>
        <w:t>用户</w:t>
      </w:r>
      <w:r>
        <w:rPr>
          <w:rFonts w:hint="eastAsia" w:ascii="Times New Roman" w:hAnsi="Times New Roman" w:eastAsia="方正仿宋_GBK" w:cs="Times New Roman"/>
          <w:sz w:val="32"/>
          <w:szCs w:val="32"/>
        </w:rPr>
        <w:t>绿证账户。</w:t>
      </w:r>
      <w:r>
        <w:rPr>
          <w:rFonts w:hint="eastAsia" w:ascii="Times New Roman" w:hAnsi="Times New Roman" w:eastAsia="方正仿宋_GBK" w:cs="Times New Roman"/>
          <w:sz w:val="32"/>
          <w:szCs w:val="32"/>
          <w:lang w:eastAsia="zh-CN"/>
        </w:rPr>
        <w:t>具体流程明确如下。</w:t>
      </w:r>
    </w:p>
    <w:p>
      <w:pPr>
        <w:keepNext w:val="0"/>
        <w:keepLines w:val="0"/>
        <w:pageBreakBefore w:val="0"/>
        <w:kinsoku/>
        <w:wordWrap/>
        <w:overflowPunct/>
        <w:topLinePunct w:val="0"/>
        <w:autoSpaceDE/>
        <w:autoSpaceDN/>
        <w:bidi w:val="0"/>
        <w:spacing w:line="590" w:lineRule="exact"/>
        <w:ind w:firstLine="640" w:firstLineChars="200"/>
        <w:jc w:val="both"/>
        <w:textAlignment w:val="auto"/>
        <w:rPr>
          <w:rFonts w:hint="eastAsia" w:ascii="Times New Roman" w:hAnsi="Times New Roman" w:eastAsia="方正仿宋_GBK" w:cs="Times New Roman"/>
          <w:sz w:val="32"/>
          <w:szCs w:val="32"/>
        </w:rPr>
      </w:pPr>
      <w:r>
        <w:rPr>
          <w:rFonts w:hint="eastAsia" w:ascii="方正黑体_GBK" w:hAnsi="方正黑体_GBK" w:eastAsia="方正黑体_GBK" w:cs="方正黑体_GBK"/>
          <w:kern w:val="2"/>
          <w:sz w:val="32"/>
          <w:szCs w:val="32"/>
          <w:lang w:eastAsia="zh-CN"/>
        </w:rPr>
        <w:t>一</w:t>
      </w:r>
      <w:r>
        <w:rPr>
          <w:rFonts w:hint="eastAsia" w:ascii="方正黑体_GBK" w:hAnsi="方正黑体_GBK" w:eastAsia="方正黑体_GBK" w:cs="方正黑体_GBK"/>
          <w:kern w:val="2"/>
          <w:sz w:val="32"/>
          <w:szCs w:val="32"/>
        </w:rPr>
        <w:t>、核定</w:t>
      </w:r>
      <w:r>
        <w:rPr>
          <w:rFonts w:hint="eastAsia" w:ascii="方正黑体_GBK" w:hAnsi="方正黑体_GBK" w:eastAsia="方正黑体_GBK" w:cs="方正黑体_GBK"/>
          <w:kern w:val="2"/>
          <w:sz w:val="32"/>
          <w:szCs w:val="32"/>
          <w:lang w:eastAsia="zh-CN"/>
        </w:rPr>
        <w:t>各设区市</w:t>
      </w:r>
      <w:r>
        <w:rPr>
          <w:rFonts w:hint="eastAsia" w:ascii="方正黑体_GBK" w:hAnsi="方正黑体_GBK" w:eastAsia="方正黑体_GBK" w:cs="方正黑体_GBK"/>
          <w:kern w:val="2"/>
          <w:sz w:val="32"/>
          <w:szCs w:val="32"/>
        </w:rPr>
        <w:t>年度</w:t>
      </w:r>
      <w:r>
        <w:rPr>
          <w:rFonts w:hint="eastAsia" w:ascii="方正黑体_GBK" w:hAnsi="方正黑体_GBK" w:eastAsia="方正黑体_GBK" w:cs="方正黑体_GBK"/>
          <w:kern w:val="2"/>
          <w:sz w:val="32"/>
          <w:szCs w:val="32"/>
          <w:lang w:eastAsia="zh-CN"/>
        </w:rPr>
        <w:t>可分配比例和</w:t>
      </w:r>
      <w:r>
        <w:rPr>
          <w:rFonts w:hint="eastAsia" w:ascii="方正黑体_GBK" w:hAnsi="方正黑体_GBK" w:eastAsia="方正黑体_GBK" w:cs="方正黑体_GBK"/>
          <w:kern w:val="2"/>
          <w:sz w:val="32"/>
          <w:szCs w:val="32"/>
        </w:rPr>
        <w:t>额度</w:t>
      </w:r>
    </w:p>
    <w:p>
      <w:pPr>
        <w:keepNext w:val="0"/>
        <w:keepLines w:val="0"/>
        <w:pageBreakBefore w:val="0"/>
        <w:kinsoku/>
        <w:wordWrap/>
        <w:overflowPunct/>
        <w:topLinePunct w:val="0"/>
        <w:autoSpaceDE/>
        <w:autoSpaceDN/>
        <w:bidi w:val="0"/>
        <w:spacing w:line="59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省发展改革委对接国家能源局电力业务资质管理中心，</w:t>
      </w:r>
      <w:r>
        <w:rPr>
          <w:rFonts w:hint="eastAsia" w:ascii="Times New Roman" w:hAnsi="Times New Roman" w:eastAsia="方正仿宋_GBK" w:cs="Times New Roman"/>
          <w:sz w:val="32"/>
          <w:szCs w:val="32"/>
          <w:lang w:eastAsia="zh-CN"/>
        </w:rPr>
        <w:t>确定</w:t>
      </w:r>
      <w:r>
        <w:rPr>
          <w:rFonts w:hint="eastAsia" w:ascii="Times New Roman" w:hAnsi="Times New Roman" w:eastAsia="方正仿宋_GBK" w:cs="Times New Roman"/>
          <w:sz w:val="32"/>
          <w:szCs w:val="32"/>
        </w:rPr>
        <w:t>省级绿证账户</w:t>
      </w:r>
      <w:r>
        <w:rPr>
          <w:rFonts w:hint="eastAsia" w:ascii="Times New Roman" w:hAnsi="Times New Roman" w:eastAsia="方正仿宋_GBK" w:cs="Times New Roman"/>
          <w:sz w:val="32"/>
          <w:szCs w:val="32"/>
          <w:lang w:eastAsia="zh-CN"/>
        </w:rPr>
        <w:t>中</w:t>
      </w:r>
      <w:r>
        <w:rPr>
          <w:rFonts w:hint="eastAsia" w:ascii="Times New Roman" w:hAnsi="Times New Roman" w:eastAsia="方正仿宋_GBK" w:cs="Times New Roman"/>
          <w:sz w:val="32"/>
          <w:szCs w:val="32"/>
        </w:rPr>
        <w:t>绿证归集</w:t>
      </w:r>
      <w:r>
        <w:rPr>
          <w:rFonts w:hint="eastAsia" w:ascii="Times New Roman" w:hAnsi="Times New Roman" w:eastAsia="方正仿宋_GBK" w:cs="Times New Roman"/>
          <w:sz w:val="32"/>
          <w:szCs w:val="32"/>
          <w:lang w:eastAsia="zh-CN"/>
        </w:rPr>
        <w:t>划转</w:t>
      </w:r>
      <w:r>
        <w:rPr>
          <w:rFonts w:hint="eastAsia" w:ascii="Times New Roman" w:hAnsi="Times New Roman" w:eastAsia="方正仿宋_GBK" w:cs="Times New Roman"/>
          <w:sz w:val="32"/>
          <w:szCs w:val="32"/>
        </w:rPr>
        <w:t>数据</w:t>
      </w:r>
      <w:r>
        <w:rPr>
          <w:rFonts w:hint="eastAsia" w:ascii="Times New Roman" w:hAnsi="Times New Roman" w:eastAsia="方正仿宋_GBK" w:cs="Times New Roman"/>
          <w:sz w:val="32"/>
          <w:szCs w:val="32"/>
          <w:lang w:eastAsia="zh-CN"/>
        </w:rPr>
        <w:t>。在上一年度全社会用电量统计数据确定后</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省发展改革委适时组织</w:t>
      </w:r>
      <w:r>
        <w:rPr>
          <w:rFonts w:hint="eastAsia" w:ascii="Times New Roman" w:hAnsi="Times New Roman" w:eastAsia="方正仿宋_GBK" w:cs="Times New Roman"/>
          <w:sz w:val="32"/>
          <w:szCs w:val="32"/>
        </w:rPr>
        <w:t>省电力交易中心</w:t>
      </w:r>
      <w:r>
        <w:rPr>
          <w:rFonts w:hint="eastAsia" w:ascii="Times New Roman" w:hAnsi="Times New Roman" w:eastAsia="方正仿宋_GBK" w:cs="Times New Roman"/>
          <w:sz w:val="32"/>
          <w:szCs w:val="32"/>
          <w:lang w:eastAsia="zh-CN"/>
        </w:rPr>
        <w:t>按照</w:t>
      </w:r>
      <w:r>
        <w:rPr>
          <w:rFonts w:hint="eastAsia" w:ascii="Times New Roman" w:hAnsi="Times New Roman" w:eastAsia="方正仿宋_GBK" w:cs="Times New Roman"/>
          <w:sz w:val="32"/>
          <w:szCs w:val="32"/>
          <w:lang w:val="en-US" w:eastAsia="zh-CN"/>
        </w:rPr>
        <w:t>分配测算模型和说明（</w:t>
      </w:r>
      <w:r>
        <w:rPr>
          <w:rFonts w:hint="eastAsia" w:ascii="Times New Roman" w:hAnsi="Times New Roman" w:eastAsia="方正仿宋_GBK" w:cs="Times New Roman"/>
          <w:sz w:val="32"/>
          <w:szCs w:val="32"/>
          <w:lang w:eastAsia="zh-CN"/>
        </w:rPr>
        <w:t>附件</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rPr>
        <w:t>核定各设区市</w:t>
      </w:r>
      <w:r>
        <w:rPr>
          <w:rFonts w:hint="eastAsia" w:ascii="Times New Roman" w:hAnsi="Times New Roman" w:eastAsia="方正仿宋_GBK" w:cs="Times New Roman"/>
          <w:sz w:val="32"/>
          <w:szCs w:val="32"/>
          <w:lang w:eastAsia="zh-CN"/>
        </w:rPr>
        <w:t>本年度可</w:t>
      </w:r>
      <w:r>
        <w:rPr>
          <w:rFonts w:hint="eastAsia" w:ascii="Times New Roman" w:hAnsi="Times New Roman" w:eastAsia="方正仿宋_GBK" w:cs="Times New Roman"/>
          <w:sz w:val="32"/>
          <w:szCs w:val="32"/>
        </w:rPr>
        <w:t>分配比例，</w:t>
      </w:r>
      <w:r>
        <w:rPr>
          <w:rFonts w:hint="eastAsia" w:ascii="Times New Roman" w:hAnsi="Times New Roman" w:eastAsia="方正仿宋_GBK" w:cs="Times New Roman"/>
          <w:sz w:val="32"/>
          <w:szCs w:val="32"/>
          <w:lang w:eastAsia="zh-CN"/>
        </w:rPr>
        <w:t>并根据国家能源局电力业务资质管理中心对存量常规水电绿证划转周期，按本年度分配比例和省级绿证账户中存量常规水电绿证数量情况，测算各设区市可分配额度，</w:t>
      </w:r>
      <w:r>
        <w:rPr>
          <w:rFonts w:hint="eastAsia" w:ascii="Times New Roman" w:hAnsi="Times New Roman" w:eastAsia="方正仿宋_GBK" w:cs="Times New Roman"/>
          <w:sz w:val="32"/>
          <w:szCs w:val="32"/>
        </w:rPr>
        <w:t>测算结果由省发展改革委审核确认</w:t>
      </w:r>
      <w:r>
        <w:rPr>
          <w:rFonts w:hint="eastAsia" w:ascii="Times New Roman" w:hAnsi="Times New Roman" w:eastAsia="方正仿宋_GBK" w:cs="Times New Roman"/>
          <w:sz w:val="32"/>
          <w:szCs w:val="32"/>
          <w:lang w:eastAsia="zh-CN"/>
        </w:rPr>
        <w:t>。</w:t>
      </w:r>
    </w:p>
    <w:p>
      <w:pPr>
        <w:keepNext w:val="0"/>
        <w:keepLines w:val="0"/>
        <w:pageBreakBefore w:val="0"/>
        <w:kinsoku/>
        <w:wordWrap/>
        <w:overflowPunct/>
        <w:topLinePunct w:val="0"/>
        <w:autoSpaceDE/>
        <w:autoSpaceDN/>
        <w:bidi w:val="0"/>
        <w:spacing w:line="590" w:lineRule="exact"/>
        <w:ind w:firstLine="640" w:firstLineChars="200"/>
        <w:jc w:val="both"/>
        <w:textAlignment w:val="auto"/>
        <w:rPr>
          <w:rFonts w:hint="eastAsia" w:ascii="Times New Roman" w:hAnsi="Times New Roman" w:eastAsia="方正仿宋_GBK" w:cs="Times New Roman"/>
          <w:sz w:val="32"/>
          <w:szCs w:val="32"/>
        </w:rPr>
      </w:pPr>
      <w:r>
        <w:rPr>
          <w:rFonts w:hint="eastAsia" w:ascii="方正黑体_GBK" w:hAnsi="方正黑体_GBK" w:eastAsia="方正黑体_GBK" w:cs="方正黑体_GBK"/>
          <w:kern w:val="2"/>
          <w:sz w:val="32"/>
          <w:szCs w:val="32"/>
          <w:lang w:eastAsia="zh-CN"/>
        </w:rPr>
        <w:t>二</w:t>
      </w:r>
      <w:r>
        <w:rPr>
          <w:rFonts w:hint="eastAsia" w:ascii="方正黑体_GBK" w:hAnsi="方正黑体_GBK" w:eastAsia="方正黑体_GBK" w:cs="方正黑体_GBK"/>
          <w:kern w:val="2"/>
          <w:sz w:val="32"/>
          <w:szCs w:val="32"/>
        </w:rPr>
        <w:t>、</w:t>
      </w:r>
      <w:r>
        <w:rPr>
          <w:rFonts w:hint="eastAsia" w:ascii="方正黑体_GBK" w:hAnsi="方正黑体_GBK" w:eastAsia="方正黑体_GBK" w:cs="方正黑体_GBK"/>
          <w:kern w:val="2"/>
          <w:sz w:val="32"/>
          <w:szCs w:val="32"/>
          <w:lang w:eastAsia="zh-CN"/>
        </w:rPr>
        <w:t>各设区市</w:t>
      </w:r>
      <w:r>
        <w:rPr>
          <w:rFonts w:hint="eastAsia" w:ascii="方正黑体_GBK" w:hAnsi="方正黑体_GBK" w:eastAsia="方正黑体_GBK" w:cs="方正黑体_GBK"/>
          <w:kern w:val="2"/>
          <w:sz w:val="32"/>
          <w:szCs w:val="32"/>
        </w:rPr>
        <w:t>核定</w:t>
      </w:r>
      <w:r>
        <w:rPr>
          <w:rFonts w:hint="eastAsia" w:ascii="方正黑体_GBK" w:hAnsi="方正黑体_GBK" w:eastAsia="方正黑体_GBK" w:cs="方正黑体_GBK"/>
          <w:kern w:val="2"/>
          <w:sz w:val="32"/>
          <w:szCs w:val="32"/>
          <w:lang w:eastAsia="zh-CN"/>
        </w:rPr>
        <w:t>用户分配</w:t>
      </w:r>
      <w:r>
        <w:rPr>
          <w:rFonts w:hint="eastAsia" w:ascii="方正黑体_GBK" w:hAnsi="方正黑体_GBK" w:eastAsia="方正黑体_GBK" w:cs="方正黑体_GBK"/>
          <w:kern w:val="2"/>
          <w:sz w:val="32"/>
          <w:szCs w:val="32"/>
        </w:rPr>
        <w:t>额度</w:t>
      </w:r>
    </w:p>
    <w:p>
      <w:pPr>
        <w:keepNext w:val="0"/>
        <w:keepLines w:val="0"/>
        <w:pageBreakBefore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各设区市发展改革委应在各自额度内开展存量常规水电绿证分配至用户工作，并在</w:t>
      </w:r>
      <w:r>
        <w:rPr>
          <w:rFonts w:hint="eastAsia" w:ascii="Times New Roman" w:hAnsi="Times New Roman" w:eastAsia="方正仿宋_GBK"/>
          <w:color w:val="000000"/>
          <w:sz w:val="32"/>
          <w:szCs w:val="32"/>
        </w:rPr>
        <w:t>市级额度分配</w:t>
      </w:r>
      <w:r>
        <w:rPr>
          <w:rFonts w:hint="eastAsia" w:ascii="Times New Roman" w:hAnsi="Times New Roman" w:eastAsia="方正仿宋_GBK"/>
          <w:color w:val="000000"/>
          <w:sz w:val="32"/>
          <w:szCs w:val="32"/>
          <w:lang w:eastAsia="zh-CN"/>
        </w:rPr>
        <w:t>工作方案中</w:t>
      </w:r>
      <w:r>
        <w:rPr>
          <w:rFonts w:hint="eastAsia" w:ascii="Times New Roman" w:hAnsi="Times New Roman" w:eastAsia="方正仿宋_GBK" w:cs="Times New Roman"/>
          <w:sz w:val="32"/>
          <w:szCs w:val="32"/>
          <w:lang w:eastAsia="zh-CN"/>
        </w:rPr>
        <w:t>明确存量常规水电绿证额度申请要求和程序，建立分配台账，做到额度可溯源、分配可核查、使用可跟踪。用户可向属地设区市发展改革委提交绿证分配申请，属地</w:t>
      </w:r>
      <w:r>
        <w:rPr>
          <w:rFonts w:hint="eastAsia" w:ascii="Times New Roman" w:hAnsi="Times New Roman" w:eastAsia="方正仿宋_GBK" w:cs="Times New Roman"/>
          <w:sz w:val="32"/>
          <w:szCs w:val="32"/>
        </w:rPr>
        <w:t>发展改革委</w:t>
      </w:r>
      <w:r>
        <w:rPr>
          <w:rFonts w:hint="eastAsia" w:ascii="Times New Roman" w:hAnsi="Times New Roman" w:eastAsia="方正仿宋_GBK" w:cs="Times New Roman"/>
          <w:sz w:val="32"/>
          <w:szCs w:val="32"/>
          <w:lang w:eastAsia="zh-CN"/>
        </w:rPr>
        <w:t>应按照程序</w:t>
      </w:r>
      <w:r>
        <w:rPr>
          <w:rFonts w:hint="eastAsia" w:ascii="Times New Roman" w:hAnsi="Times New Roman" w:eastAsia="方正仿宋_GBK" w:cs="Times New Roman"/>
          <w:sz w:val="32"/>
          <w:szCs w:val="32"/>
        </w:rPr>
        <w:t>受理</w:t>
      </w:r>
      <w:r>
        <w:rPr>
          <w:rFonts w:hint="eastAsia" w:ascii="Times New Roman" w:hAnsi="Times New Roman" w:eastAsia="方正仿宋_GBK" w:cs="Times New Roman"/>
          <w:sz w:val="32"/>
          <w:szCs w:val="32"/>
          <w:lang w:eastAsia="zh-CN"/>
        </w:rPr>
        <w:t>申请</w:t>
      </w:r>
      <w:r>
        <w:rPr>
          <w:rFonts w:hint="eastAsia" w:ascii="Times New Roman" w:hAnsi="Times New Roman" w:eastAsia="方正仿宋_GBK" w:cs="Times New Roman"/>
          <w:sz w:val="32"/>
          <w:szCs w:val="32"/>
        </w:rPr>
        <w:t>，开展</w:t>
      </w:r>
      <w:r>
        <w:rPr>
          <w:rFonts w:hint="eastAsia" w:ascii="Times New Roman" w:hAnsi="Times New Roman" w:eastAsia="方正仿宋_GBK" w:cs="Times New Roman"/>
          <w:sz w:val="32"/>
          <w:szCs w:val="32"/>
          <w:lang w:eastAsia="zh-CN"/>
        </w:rPr>
        <w:t>用户</w:t>
      </w:r>
      <w:r>
        <w:rPr>
          <w:rFonts w:hint="eastAsia" w:ascii="Times New Roman" w:hAnsi="Times New Roman" w:eastAsia="方正仿宋_GBK" w:cs="Times New Roman"/>
          <w:sz w:val="32"/>
          <w:szCs w:val="32"/>
        </w:rPr>
        <w:t>资格审核，确定</w:t>
      </w:r>
      <w:r>
        <w:rPr>
          <w:rFonts w:hint="eastAsia" w:ascii="Times New Roman" w:hAnsi="Times New Roman" w:eastAsia="方正仿宋_GBK" w:cs="Times New Roman"/>
          <w:sz w:val="32"/>
          <w:szCs w:val="32"/>
          <w:lang w:eastAsia="zh-CN"/>
        </w:rPr>
        <w:t>用户</w:t>
      </w:r>
      <w:r>
        <w:rPr>
          <w:rFonts w:hint="eastAsia" w:ascii="Times New Roman" w:hAnsi="Times New Roman" w:eastAsia="方正仿宋_GBK" w:cs="Times New Roman"/>
          <w:sz w:val="32"/>
          <w:szCs w:val="32"/>
        </w:rPr>
        <w:t>分配额度</w:t>
      </w:r>
      <w:r>
        <w:rPr>
          <w:rFonts w:hint="eastAsia" w:ascii="Times New Roman" w:hAnsi="Times New Roman" w:eastAsia="方正仿宋_GBK" w:cs="Times New Roman"/>
          <w:sz w:val="32"/>
          <w:szCs w:val="32"/>
          <w:lang w:eastAsia="zh-CN"/>
        </w:rPr>
        <w:t>。</w:t>
      </w:r>
    </w:p>
    <w:p>
      <w:pPr>
        <w:keepNext w:val="0"/>
        <w:keepLines w:val="0"/>
        <w:pageBreakBefore w:val="0"/>
        <w:kinsoku/>
        <w:wordWrap/>
        <w:overflowPunct/>
        <w:topLinePunct w:val="0"/>
        <w:autoSpaceDE/>
        <w:autoSpaceDN/>
        <w:bidi w:val="0"/>
        <w:spacing w:line="590" w:lineRule="exact"/>
        <w:ind w:firstLine="640" w:firstLineChars="200"/>
        <w:jc w:val="both"/>
        <w:textAlignment w:val="auto"/>
        <w:rPr>
          <w:rFonts w:hint="eastAsia" w:ascii="Times New Roman" w:hAnsi="Times New Roman" w:eastAsia="方正黑体_GBK" w:cs="Times New Roman"/>
          <w:sz w:val="32"/>
          <w:szCs w:val="32"/>
          <w:lang w:eastAsia="zh-CN"/>
        </w:rPr>
      </w:pPr>
      <w:r>
        <w:rPr>
          <w:rFonts w:hint="eastAsia" w:ascii="方正黑体_GBK" w:hAnsi="方正黑体_GBK" w:eastAsia="方正黑体_GBK" w:cs="方正黑体_GBK"/>
          <w:kern w:val="2"/>
          <w:sz w:val="32"/>
          <w:szCs w:val="32"/>
          <w:lang w:eastAsia="zh-CN"/>
        </w:rPr>
        <w:t>三</w:t>
      </w:r>
      <w:r>
        <w:rPr>
          <w:rFonts w:hint="eastAsia" w:ascii="方正黑体_GBK" w:hAnsi="方正黑体_GBK" w:eastAsia="方正黑体_GBK" w:cs="方正黑体_GBK"/>
          <w:kern w:val="2"/>
          <w:sz w:val="32"/>
          <w:szCs w:val="32"/>
        </w:rPr>
        <w:t>、</w:t>
      </w:r>
      <w:r>
        <w:rPr>
          <w:rFonts w:hint="eastAsia" w:ascii="方正黑体_GBK" w:hAnsi="方正黑体_GBK" w:eastAsia="方正黑体_GBK" w:cs="方正黑体_GBK"/>
          <w:kern w:val="2"/>
          <w:sz w:val="32"/>
          <w:szCs w:val="32"/>
          <w:lang w:eastAsia="zh-CN"/>
        </w:rPr>
        <w:t>分配数据汇总及绿证划转</w:t>
      </w:r>
    </w:p>
    <w:p>
      <w:pPr>
        <w:keepNext w:val="0"/>
        <w:keepLines w:val="0"/>
        <w:pageBreakBefore w:val="0"/>
        <w:kinsoku/>
        <w:wordWrap/>
        <w:overflowPunct/>
        <w:topLinePunct w:val="0"/>
        <w:autoSpaceDE/>
        <w:autoSpaceDN/>
        <w:bidi w:val="0"/>
        <w:spacing w:line="590" w:lineRule="exact"/>
        <w:ind w:firstLine="640" w:firstLineChars="200"/>
        <w:jc w:val="both"/>
        <w:textAlignment w:val="auto"/>
        <w:rPr>
          <w:rFonts w:hint="default" w:ascii="仿宋_GB2312" w:hAnsi="Times New Roman" w:eastAsia="仿宋_GB2312" w:cs="仿宋_GB2312"/>
          <w:i w:val="0"/>
          <w:iCs w:val="0"/>
          <w:caps w:val="0"/>
          <w:color w:val="000000"/>
          <w:spacing w:val="0"/>
          <w:sz w:val="32"/>
          <w:szCs w:val="32"/>
        </w:rPr>
      </w:pPr>
      <w:r>
        <w:rPr>
          <w:rFonts w:hint="eastAsia" w:ascii="Times New Roman" w:hAnsi="Times New Roman" w:eastAsia="方正仿宋_GBK" w:cs="Times New Roman"/>
          <w:sz w:val="32"/>
          <w:szCs w:val="32"/>
          <w:lang w:eastAsia="zh-CN"/>
        </w:rPr>
        <w:t>各设区市发展改革委应于省发展改革委明确额度之日起一个月内完成分配，履行相应公示流程，</w:t>
      </w:r>
      <w:r>
        <w:rPr>
          <w:rFonts w:hint="eastAsia" w:ascii="Times New Roman" w:hAnsi="Times New Roman" w:eastAsia="方正仿宋_GBK" w:cs="Times New Roman"/>
          <w:sz w:val="32"/>
          <w:szCs w:val="32"/>
        </w:rPr>
        <w:t>形成</w:t>
      </w:r>
      <w:r>
        <w:rPr>
          <w:rFonts w:hint="eastAsia" w:ascii="Times New Roman" w:hAnsi="Times New Roman" w:eastAsia="方正仿宋_GBK" w:cs="Times New Roman"/>
          <w:sz w:val="32"/>
          <w:szCs w:val="32"/>
          <w:lang w:eastAsia="zh-CN"/>
        </w:rPr>
        <w:t>分配</w:t>
      </w:r>
      <w:r>
        <w:rPr>
          <w:rFonts w:hint="eastAsia" w:ascii="Times New Roman" w:hAnsi="Times New Roman" w:eastAsia="方正仿宋_GBK" w:cs="Times New Roman"/>
          <w:sz w:val="32"/>
          <w:szCs w:val="32"/>
        </w:rPr>
        <w:t>清单</w:t>
      </w:r>
      <w:r>
        <w:rPr>
          <w:rFonts w:hint="eastAsia" w:ascii="Times New Roman" w:hAnsi="Times New Roman" w:eastAsia="方正仿宋_GBK" w:cs="Times New Roman"/>
          <w:sz w:val="32"/>
          <w:szCs w:val="32"/>
          <w:lang w:eastAsia="zh-CN"/>
        </w:rPr>
        <w:t>，并报送至</w:t>
      </w:r>
      <w:r>
        <w:rPr>
          <w:rFonts w:hint="eastAsia" w:ascii="Times New Roman" w:hAnsi="Times New Roman" w:eastAsia="方正仿宋_GBK" w:cs="Times New Roman"/>
          <w:sz w:val="32"/>
          <w:szCs w:val="32"/>
        </w:rPr>
        <w:t>省电力交易中心</w:t>
      </w:r>
      <w:r>
        <w:rPr>
          <w:rFonts w:hint="eastAsia" w:ascii="Times New Roman" w:hAnsi="Times New Roman" w:eastAsia="方正仿宋_GBK" w:cs="Times New Roman"/>
          <w:sz w:val="32"/>
          <w:szCs w:val="32"/>
          <w:lang w:eastAsia="zh-CN"/>
        </w:rPr>
        <w:t>。省电力交易中心负责开展分配清单的企业信息、分配额度、账户信息等内容</w:t>
      </w:r>
      <w:r>
        <w:rPr>
          <w:rFonts w:hint="default" w:ascii="Times New Roman" w:hAnsi="Times New Roman" w:eastAsia="方正仿宋_GBK" w:cs="Times New Roman"/>
          <w:b w:val="0"/>
          <w:sz w:val="32"/>
        </w:rPr>
        <w:t>数据</w:t>
      </w:r>
      <w:r>
        <w:rPr>
          <w:rFonts w:hint="eastAsia" w:ascii="Times New Roman" w:hAnsi="Times New Roman" w:eastAsia="方正仿宋_GBK" w:cs="Times New Roman"/>
          <w:b w:val="0"/>
          <w:sz w:val="32"/>
          <w:lang w:eastAsia="zh-CN"/>
        </w:rPr>
        <w:t>统计、台账管理等工作</w:t>
      </w:r>
      <w:r>
        <w:rPr>
          <w:rFonts w:hint="eastAsia" w:ascii="Times New Roman" w:hAnsi="Times New Roman" w:eastAsia="方正仿宋_GBK" w:cs="Times New Roman"/>
          <w:sz w:val="32"/>
          <w:szCs w:val="32"/>
          <w:lang w:eastAsia="zh-CN"/>
        </w:rPr>
        <w:t>，并按需协助</w:t>
      </w:r>
      <w:r>
        <w:rPr>
          <w:rFonts w:hint="eastAsia" w:ascii="Times New Roman" w:hAnsi="Times New Roman" w:eastAsia="方正仿宋_GBK" w:cs="Times New Roman"/>
          <w:sz w:val="32"/>
          <w:szCs w:val="32"/>
        </w:rPr>
        <w:t>国家绿证</w:t>
      </w:r>
      <w:r>
        <w:rPr>
          <w:rFonts w:hint="eastAsia" w:ascii="Times New Roman" w:hAnsi="Times New Roman" w:eastAsia="方正仿宋_GBK" w:cs="Times New Roman"/>
          <w:sz w:val="32"/>
          <w:szCs w:val="32"/>
          <w:lang w:eastAsia="zh-CN"/>
        </w:rPr>
        <w:t>核发</w:t>
      </w:r>
      <w:r>
        <w:rPr>
          <w:rFonts w:hint="eastAsia" w:ascii="Times New Roman" w:hAnsi="Times New Roman" w:eastAsia="方正仿宋_GBK" w:cs="Times New Roman"/>
          <w:sz w:val="32"/>
          <w:szCs w:val="32"/>
        </w:rPr>
        <w:t>系统划转</w:t>
      </w:r>
      <w:r>
        <w:rPr>
          <w:rFonts w:hint="eastAsia" w:ascii="Times New Roman" w:hAnsi="Times New Roman" w:eastAsia="方正仿宋_GBK" w:cs="Times New Roman"/>
          <w:sz w:val="32"/>
          <w:szCs w:val="32"/>
          <w:lang w:eastAsia="zh-CN"/>
        </w:rPr>
        <w:t>相关操作。</w:t>
      </w:r>
      <w:r>
        <w:rPr>
          <w:rFonts w:hint="eastAsia" w:ascii="Times New Roman" w:hAnsi="Times New Roman" w:eastAsia="方正仿宋_GBK" w:cs="Times New Roman"/>
          <w:sz w:val="32"/>
          <w:szCs w:val="32"/>
        </w:rPr>
        <w:t>省发展改革委</w:t>
      </w:r>
      <w:r>
        <w:rPr>
          <w:rFonts w:hint="default" w:ascii="仿宋_GB2312" w:hAnsi="Times New Roman" w:eastAsia="仿宋_GB2312" w:cs="仿宋_GB2312"/>
          <w:i w:val="0"/>
          <w:iCs w:val="0"/>
          <w:caps w:val="0"/>
          <w:color w:val="000000"/>
          <w:spacing w:val="0"/>
          <w:sz w:val="32"/>
          <w:szCs w:val="32"/>
        </w:rPr>
        <w:t>负责对接国家能源局</w:t>
      </w:r>
      <w:r>
        <w:rPr>
          <w:rFonts w:hint="eastAsia" w:ascii="Times New Roman" w:hAnsi="Times New Roman" w:eastAsia="方正仿宋_GBK" w:cs="Times New Roman"/>
          <w:sz w:val="32"/>
          <w:szCs w:val="32"/>
        </w:rPr>
        <w:t>电力业务资质管理中心</w:t>
      </w:r>
      <w:r>
        <w:rPr>
          <w:rFonts w:hint="eastAsia" w:ascii="Times New Roman" w:hAnsi="Times New Roman" w:eastAsia="方正仿宋_GBK" w:cs="Times New Roman"/>
          <w:sz w:val="32"/>
          <w:szCs w:val="32"/>
          <w:lang w:eastAsia="zh-CN"/>
        </w:rPr>
        <w:t>，</w:t>
      </w:r>
      <w:r>
        <w:rPr>
          <w:rFonts w:hint="default" w:ascii="仿宋_GB2312" w:hAnsi="Times New Roman" w:eastAsia="仿宋_GB2312" w:cs="仿宋_GB2312"/>
          <w:i w:val="0"/>
          <w:iCs w:val="0"/>
          <w:caps w:val="0"/>
          <w:color w:val="000000"/>
          <w:spacing w:val="0"/>
          <w:sz w:val="32"/>
          <w:szCs w:val="32"/>
        </w:rPr>
        <w:t>及时</w:t>
      </w:r>
      <w:r>
        <w:rPr>
          <w:rFonts w:hint="eastAsia" w:ascii="仿宋_GB2312" w:hAnsi="Times New Roman" w:eastAsia="仿宋_GB2312" w:cs="仿宋_GB2312"/>
          <w:i w:val="0"/>
          <w:iCs w:val="0"/>
          <w:caps w:val="0"/>
          <w:color w:val="000000"/>
          <w:spacing w:val="0"/>
          <w:sz w:val="32"/>
          <w:szCs w:val="32"/>
          <w:lang w:eastAsia="zh-CN"/>
        </w:rPr>
        <w:t>将存量常规水电绿证</w:t>
      </w:r>
      <w:r>
        <w:rPr>
          <w:rFonts w:hint="default" w:ascii="仿宋_GB2312" w:hAnsi="Times New Roman" w:eastAsia="仿宋_GB2312" w:cs="仿宋_GB2312"/>
          <w:i w:val="0"/>
          <w:iCs w:val="0"/>
          <w:caps w:val="0"/>
          <w:color w:val="000000"/>
          <w:spacing w:val="0"/>
          <w:sz w:val="32"/>
          <w:szCs w:val="32"/>
        </w:rPr>
        <w:t>划转到</w:t>
      </w:r>
      <w:r>
        <w:rPr>
          <w:rFonts w:hint="eastAsia" w:ascii="仿宋_GB2312" w:hAnsi="Times New Roman" w:eastAsia="仿宋_GB2312" w:cs="仿宋_GB2312"/>
          <w:i w:val="0"/>
          <w:iCs w:val="0"/>
          <w:caps w:val="0"/>
          <w:color w:val="000000"/>
          <w:spacing w:val="0"/>
          <w:sz w:val="32"/>
          <w:szCs w:val="32"/>
          <w:lang w:eastAsia="zh-CN"/>
        </w:rPr>
        <w:t>用户</w:t>
      </w:r>
      <w:r>
        <w:rPr>
          <w:rFonts w:hint="default" w:ascii="仿宋_GB2312" w:hAnsi="Times New Roman" w:eastAsia="仿宋_GB2312" w:cs="仿宋_GB2312"/>
          <w:i w:val="0"/>
          <w:iCs w:val="0"/>
          <w:caps w:val="0"/>
          <w:color w:val="000000"/>
          <w:spacing w:val="0"/>
          <w:sz w:val="32"/>
          <w:szCs w:val="32"/>
        </w:rPr>
        <w:t>。</w:t>
      </w:r>
    </w:p>
    <w:p>
      <w:pPr>
        <w:keepNext w:val="0"/>
        <w:keepLines w:val="0"/>
        <w:pageBreakBefore w:val="0"/>
        <w:kinsoku/>
        <w:wordWrap/>
        <w:overflowPunct/>
        <w:topLinePunct w:val="0"/>
        <w:autoSpaceDE/>
        <w:autoSpaceDN/>
        <w:bidi w:val="0"/>
        <w:spacing w:line="590" w:lineRule="exact"/>
        <w:ind w:firstLine="640" w:firstLineChars="200"/>
        <w:jc w:val="both"/>
        <w:textAlignment w:val="auto"/>
        <w:rPr>
          <w:rFonts w:hint="eastAsia" w:ascii="Times New Roman" w:hAnsi="Times New Roman" w:eastAsia="方正仿宋_GBK" w:cs="Times New Roman"/>
          <w:sz w:val="32"/>
          <w:szCs w:val="32"/>
        </w:rPr>
      </w:pPr>
      <w:r>
        <w:rPr>
          <w:rFonts w:hint="eastAsia" w:ascii="方正黑体_GBK" w:hAnsi="方正黑体_GBK" w:eastAsia="方正黑体_GBK" w:cs="方正黑体_GBK"/>
          <w:kern w:val="2"/>
          <w:sz w:val="32"/>
          <w:szCs w:val="32"/>
        </w:rPr>
        <w:t>四、</w:t>
      </w:r>
      <w:r>
        <w:rPr>
          <w:rFonts w:hint="eastAsia" w:ascii="方正黑体_GBK" w:hAnsi="方正黑体_GBK" w:eastAsia="方正黑体_GBK" w:cs="方正黑体_GBK"/>
          <w:kern w:val="2"/>
          <w:sz w:val="32"/>
          <w:szCs w:val="32"/>
          <w:lang w:eastAsia="zh-CN"/>
        </w:rPr>
        <w:t>其他事项</w:t>
      </w:r>
    </w:p>
    <w:p>
      <w:pPr>
        <w:keepNext w:val="0"/>
        <w:keepLines w:val="0"/>
        <w:pageBreakBefore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绿证有效期按照《可再生能源绿色电力证书管理实施细则（试行）》</w:t>
      </w:r>
      <w:r>
        <w:rPr>
          <w:rFonts w:hint="eastAsia" w:ascii="Times New Roman" w:hAnsi="Times New Roman" w:eastAsia="方正仿宋_GBK" w:cs="Times New Roman"/>
          <w:sz w:val="32"/>
          <w:szCs w:val="32"/>
          <w:lang w:eastAsia="zh-CN"/>
        </w:rPr>
        <w:t>等国家文件规定</w:t>
      </w:r>
      <w:r>
        <w:rPr>
          <w:rFonts w:hint="eastAsia" w:ascii="Times New Roman" w:hAnsi="Times New Roman" w:eastAsia="方正仿宋_GBK" w:cs="Times New Roman"/>
          <w:sz w:val="32"/>
          <w:szCs w:val="32"/>
        </w:rPr>
        <w:t>执行。</w:t>
      </w:r>
    </w:p>
    <w:p>
      <w:pPr>
        <w:keepNext w:val="0"/>
        <w:keepLines w:val="0"/>
        <w:pageBreakBefore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Times New Roman" w:hAnsi="Times New Roman" w:eastAsia="方正黑体_GBK" w:cs="Times New Roman"/>
          <w:color w:val="000000"/>
          <w:kern w:val="2"/>
          <w:sz w:val="32"/>
          <w:szCs w:val="32"/>
          <w:lang w:eastAsia="zh-CN"/>
        </w:rPr>
      </w:pP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eastAsia="zh-CN"/>
        </w:rPr>
        <w:t>、分配划转的存量常规水电</w:t>
      </w:r>
      <w:r>
        <w:rPr>
          <w:rFonts w:hint="eastAsia" w:ascii="Times New Roman" w:hAnsi="Times New Roman" w:eastAsia="方正仿宋_GBK" w:cs="Times New Roman"/>
          <w:sz w:val="32"/>
          <w:szCs w:val="32"/>
        </w:rPr>
        <w:t>绿证为不可交易绿证，不得市场化交易</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可用于</w:t>
      </w:r>
      <w:r>
        <w:rPr>
          <w:rFonts w:hint="eastAsia" w:ascii="Times New Roman" w:hAnsi="Times New Roman" w:eastAsia="方正仿宋_GBK" w:cs="Times New Roman"/>
          <w:sz w:val="32"/>
          <w:szCs w:val="32"/>
          <w:lang w:eastAsia="zh-CN"/>
        </w:rPr>
        <w:t>可再生能源电力消费量核算、绿色电力消费认证、产品碳足迹核算</w:t>
      </w:r>
      <w:r>
        <w:rPr>
          <w:rFonts w:hint="eastAsia" w:ascii="Times New Roman" w:hAnsi="Times New Roman" w:eastAsia="方正仿宋_GBK" w:cs="Times New Roman"/>
          <w:sz w:val="32"/>
          <w:szCs w:val="32"/>
        </w:rPr>
        <w:t>等</w:t>
      </w:r>
      <w:r>
        <w:rPr>
          <w:rFonts w:hint="eastAsia" w:ascii="Times New Roman" w:hAnsi="Times New Roman" w:eastAsia="方正仿宋_GBK" w:cs="Times New Roman"/>
          <w:sz w:val="32"/>
          <w:szCs w:val="32"/>
          <w:lang w:eastAsia="zh-CN"/>
        </w:rPr>
        <w:t>符合国家相关文件要求的</w:t>
      </w:r>
      <w:r>
        <w:rPr>
          <w:rFonts w:hint="eastAsia" w:ascii="Times New Roman" w:hAnsi="Times New Roman" w:eastAsia="方正仿宋_GBK" w:cs="Times New Roman"/>
          <w:sz w:val="32"/>
          <w:szCs w:val="32"/>
        </w:rPr>
        <w:t>场景。</w:t>
      </w:r>
    </w:p>
    <w:sectPr>
      <w:pgSz w:w="11906" w:h="16838"/>
      <w:pgMar w:top="1814"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Noto Sans CJK SC"/>
    <w:panose1 w:val="00000000000000000000"/>
    <w:charset w:val="86"/>
    <w:family w:val="auto"/>
    <w:pitch w:val="default"/>
    <w:sig w:usb0="00000000" w:usb1="00000000" w:usb2="00000016" w:usb3="00000000" w:csb0="0004000F" w:csb1="00000000"/>
  </w:font>
  <w:font w:name="Noto Sans CJK SC">
    <w:panose1 w:val="020B0500000000000000"/>
    <w:charset w:val="86"/>
    <w:family w:val="auto"/>
    <w:pitch w:val="default"/>
    <w:sig w:usb0="30000003" w:usb1="2BDF3C10" w:usb2="00000016" w:usb3="00000000" w:csb0="602E0107" w:csb1="00000000"/>
  </w:font>
  <w:font w:name="等线 Light">
    <w:altName w:val="华文中宋"/>
    <w:panose1 w:val="00000000000000000000"/>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1" w:usb3="00000000" w:csb0="400001BF" w:csb1="DFF70000"/>
  </w:font>
  <w:font w:name="仿宋_GB2312">
    <w:altName w:val="方正仿宋_GBK"/>
    <w:panose1 w:val="00000000000000000000"/>
    <w:charset w:val="00"/>
    <w:family w:val="auto"/>
    <w:pitch w:val="default"/>
    <w:sig w:usb0="00000000" w:usb1="00000000" w:usb2="00000000" w:usb3="00000000" w:csb0="00000000" w:csb1="00000000"/>
  </w:font>
  <w:font w:name="等线">
    <w:altName w:val="Noto Sans CJK SC"/>
    <w:panose1 w:val="00000000000000000000"/>
    <w:charset w:val="00"/>
    <w:family w:val="auto"/>
    <w:pitch w:val="default"/>
    <w:sig w:usb0="00000000" w:usb1="00000000" w:usb2="00000000" w:usb3="00000000" w:csb0="00000000" w:csb1="00000000"/>
  </w:font>
  <w:font w:name="等线 Light">
    <w:altName w:val="华文中宋"/>
    <w:panose1 w:val="00000000000000000000"/>
    <w:charset w:val="00"/>
    <w:family w:val="auto"/>
    <w:pitch w:val="default"/>
    <w:sig w:usb0="00000000" w:usb1="00000000" w:usb2="00000000" w:usb3="00000000" w:csb0="00000000" w:csb1="00000000"/>
  </w:font>
  <w:font w:name="GWZT-EN">
    <w:panose1 w:val="020204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ascii="Times New Roman" w:hAnsi="Times New Roman" w:cs="Times New Roman"/>
        <w:sz w:val="32"/>
        <w:szCs w:val="32"/>
      </w:rPr>
    </w:pPr>
    <w:r>
      <w:rPr>
        <w:sz w:val="32"/>
      </w:rPr>
      <mc:AlternateContent>
        <mc:Choice Requires="wps">
          <w:drawing>
            <wp:anchor distT="0" distB="0" distL="114300" distR="114300" simplePos="0" relativeHeight="251659264" behindDoc="0" locked="0" layoutInCell="1" allowOverlap="1">
              <wp:simplePos x="0" y="0"/>
              <wp:positionH relativeFrom="margin">
                <wp:posOffset>2548255</wp:posOffset>
              </wp:positionH>
              <wp:positionV relativeFrom="paragraph">
                <wp:posOffset>182880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0.65pt;margin-top:14.4pt;height:144pt;width:144pt;mso-position-horizontal-relative:margin;mso-wrap-style:none;z-index:251659264;mso-width-relative:page;mso-height-relative:page;" filled="f" stroked="f" coordsize="21600,21600" o:gfxdata="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A169jK1wAAAAoBAAAPAAAAAAAAAAEAIAAAADgAAABk&#10;cnMvZG93bnJldi54bWxQSwECFAAUAAAACACHTuJAjNcOfCoCAABVBAAADgAAAAAAAAABACAAAAA8&#10;AQAAZHJzL2Uyb0RvYy54bWxQSwUGAAAAAAYABgBZAQAA2AUAAAAA&#10;">
              <v:fill on="f" focussize="0,0"/>
              <v:stroke on="f" weight="0.5pt"/>
              <v:imagedata o:title=""/>
              <o:lock v:ext="edit" aspectratio="f"/>
              <v:textbox inset="0mm,0mm,0mm,0mm" style="mso-fit-shape-to-text:t;">
                <w:txbxContent>
                  <w:p>
                    <w:pPr>
                      <w:pStyle w:val="12"/>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Pr>
                        <w:rFonts w:ascii="Times New Roman" w:hAnsi="Times New Roman" w:cs="Times New Roman"/>
                        <w:sz w:val="28"/>
                        <w:szCs w:val="28"/>
                      </w:rPr>
                      <w:t>—</w:t>
                    </w:r>
                  </w:p>
                </w:txbxContent>
              </v:textbox>
            </v:shape>
          </w:pict>
        </mc:Fallback>
      </mc:AlternateContent>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8F4450"/>
    <w:multiLevelType w:val="multilevel"/>
    <w:tmpl w:val="118F4450"/>
    <w:lvl w:ilvl="0" w:tentative="0">
      <w:start w:val="1"/>
      <w:numFmt w:val="japaneseCounting"/>
      <w:lvlText w:val="%1、"/>
      <w:lvlJc w:val="left"/>
      <w:pPr>
        <w:ind w:left="1360" w:hanging="72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EDE173"/>
    <w:rsid w:val="237FC96F"/>
    <w:rsid w:val="2F5E3C47"/>
    <w:rsid w:val="2FBA15C0"/>
    <w:rsid w:val="3EFDA718"/>
    <w:rsid w:val="4D7F3249"/>
    <w:rsid w:val="5FDFF391"/>
    <w:rsid w:val="5FF9E7A4"/>
    <w:rsid w:val="5FFF5D11"/>
    <w:rsid w:val="677F844D"/>
    <w:rsid w:val="6BD60A46"/>
    <w:rsid w:val="6C37916A"/>
    <w:rsid w:val="6D7ED3D7"/>
    <w:rsid w:val="6DFB5685"/>
    <w:rsid w:val="6FFBCF09"/>
    <w:rsid w:val="71F71EB8"/>
    <w:rsid w:val="72B687F7"/>
    <w:rsid w:val="77758E46"/>
    <w:rsid w:val="7BEECE1D"/>
    <w:rsid w:val="7CAB3571"/>
    <w:rsid w:val="7EB02D31"/>
    <w:rsid w:val="7EF15286"/>
    <w:rsid w:val="7F350AFC"/>
    <w:rsid w:val="7F9E2AA3"/>
    <w:rsid w:val="7FE538A2"/>
    <w:rsid w:val="7FFBF6D1"/>
    <w:rsid w:val="93F3CB55"/>
    <w:rsid w:val="9F7B3E3E"/>
    <w:rsid w:val="A336716D"/>
    <w:rsid w:val="ABF94B73"/>
    <w:rsid w:val="BFBD2158"/>
    <w:rsid w:val="BFFD3176"/>
    <w:rsid w:val="CFDF2255"/>
    <w:rsid w:val="CFFFC214"/>
    <w:rsid w:val="D45EC74B"/>
    <w:rsid w:val="DEFFD0A8"/>
    <w:rsid w:val="DF17D1EC"/>
    <w:rsid w:val="E5C7AC4D"/>
    <w:rsid w:val="E7A39545"/>
    <w:rsid w:val="E7DD6AE4"/>
    <w:rsid w:val="EB7EA472"/>
    <w:rsid w:val="ECAEFDDD"/>
    <w:rsid w:val="ED5FF2A6"/>
    <w:rsid w:val="EDC7A23D"/>
    <w:rsid w:val="EEFF70D5"/>
    <w:rsid w:val="EF77D956"/>
    <w:rsid w:val="EF9F6612"/>
    <w:rsid w:val="EFA5BED5"/>
    <w:rsid w:val="EFE77745"/>
    <w:rsid w:val="EFF33CA8"/>
    <w:rsid w:val="EFFFDA0A"/>
    <w:rsid w:val="F17B2218"/>
    <w:rsid w:val="F7C56C56"/>
    <w:rsid w:val="F9FB8788"/>
    <w:rsid w:val="FD676B16"/>
    <w:rsid w:val="FDEF2F49"/>
    <w:rsid w:val="FEEF0F01"/>
    <w:rsid w:val="FF56885F"/>
    <w:rsid w:val="FFE9A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11">
    <w:name w:val="Date"/>
    <w:basedOn w:val="1"/>
    <w:next w:val="1"/>
    <w:link w:val="42"/>
    <w:unhideWhenUsed/>
    <w:qFormat/>
    <w:uiPriority w:val="99"/>
    <w:pPr>
      <w:ind w:left="100" w:leftChars="2500"/>
    </w:pPr>
  </w:style>
  <w:style w:type="paragraph" w:styleId="12">
    <w:name w:val="footer"/>
    <w:basedOn w:val="1"/>
    <w:link w:val="40"/>
    <w:unhideWhenUsed/>
    <w:qFormat/>
    <w:uiPriority w:val="99"/>
    <w:pPr>
      <w:tabs>
        <w:tab w:val="center" w:pos="4153"/>
        <w:tab w:val="right" w:pos="8306"/>
      </w:tabs>
      <w:snapToGrid w:val="0"/>
    </w:pPr>
    <w:rPr>
      <w:sz w:val="18"/>
      <w:szCs w:val="18"/>
    </w:rPr>
  </w:style>
  <w:style w:type="paragraph" w:styleId="13">
    <w:name w:val="header"/>
    <w:basedOn w:val="1"/>
    <w:link w:val="39"/>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qFormat/>
    <w:uiPriority w:val="0"/>
    <w:pPr>
      <w:spacing w:before="100" w:beforeAutospacing="1" w:after="100" w:afterAutospacing="1"/>
      <w:jc w:val="left"/>
    </w:pPr>
    <w:rPr>
      <w:rFonts w:ascii="Calibri" w:hAnsi="Calibri" w:eastAsia="宋体" w:cs="Times New Roman"/>
      <w:kern w:val="0"/>
      <w:sz w:val="24"/>
    </w:rPr>
  </w:style>
  <w:style w:type="paragraph" w:styleId="16">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9">
    <w:name w:val="Strong"/>
    <w:basedOn w:val="18"/>
    <w:qFormat/>
    <w:uiPriority w:val="22"/>
    <w:rPr>
      <w:b/>
    </w:rPr>
  </w:style>
  <w:style w:type="character" w:styleId="20">
    <w:name w:val="Hyperlink"/>
    <w:basedOn w:val="18"/>
    <w:unhideWhenUsed/>
    <w:qFormat/>
    <w:uiPriority w:val="99"/>
    <w:rPr>
      <w:color w:val="467886" w:themeColor="hyperlink"/>
      <w:u w:val="single"/>
      <w14:textFill>
        <w14:solidFill>
          <w14:schemeClr w14:val="hlink"/>
        </w14:solidFill>
      </w14:textFill>
    </w:rPr>
  </w:style>
  <w:style w:type="character" w:customStyle="1" w:styleId="21">
    <w:name w:val="标题 1 Char"/>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Char"/>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Char"/>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Char"/>
    <w:basedOn w:val="18"/>
    <w:link w:val="5"/>
    <w:semiHidden/>
    <w:qFormat/>
    <w:uiPriority w:val="9"/>
    <w:rPr>
      <w:rFonts w:cstheme="majorBidi"/>
      <w:color w:val="104862" w:themeColor="accent1" w:themeShade="BF"/>
      <w:sz w:val="28"/>
      <w:szCs w:val="28"/>
    </w:rPr>
  </w:style>
  <w:style w:type="character" w:customStyle="1" w:styleId="25">
    <w:name w:val="标题 5 Char"/>
    <w:basedOn w:val="18"/>
    <w:link w:val="6"/>
    <w:semiHidden/>
    <w:qFormat/>
    <w:uiPriority w:val="9"/>
    <w:rPr>
      <w:rFonts w:cstheme="majorBidi"/>
      <w:color w:val="104862" w:themeColor="accent1" w:themeShade="BF"/>
      <w:sz w:val="24"/>
    </w:rPr>
  </w:style>
  <w:style w:type="character" w:customStyle="1" w:styleId="26">
    <w:name w:val="标题 6 Char"/>
    <w:basedOn w:val="18"/>
    <w:link w:val="7"/>
    <w:semiHidden/>
    <w:qFormat/>
    <w:uiPriority w:val="9"/>
    <w:rPr>
      <w:rFonts w:cstheme="majorBidi"/>
      <w:b/>
      <w:bCs/>
      <w:color w:val="104862" w:themeColor="accent1" w:themeShade="BF"/>
    </w:rPr>
  </w:style>
  <w:style w:type="character" w:customStyle="1" w:styleId="27">
    <w:name w:val="标题 7 Char"/>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Char"/>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Char"/>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Char"/>
    <w:basedOn w:val="18"/>
    <w:link w:val="16"/>
    <w:qFormat/>
    <w:uiPriority w:val="10"/>
    <w:rPr>
      <w:rFonts w:asciiTheme="majorHAnsi" w:hAnsiTheme="majorHAnsi" w:eastAsiaTheme="majorEastAsia" w:cstheme="majorBidi"/>
      <w:spacing w:val="-10"/>
      <w:kern w:val="28"/>
      <w:sz w:val="56"/>
      <w:szCs w:val="56"/>
    </w:rPr>
  </w:style>
  <w:style w:type="character" w:customStyle="1" w:styleId="31">
    <w:name w:val="副标题 Char"/>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Char"/>
    <w:basedOn w:val="18"/>
    <w:link w:val="32"/>
    <w:qFormat/>
    <w:uiPriority w:val="29"/>
    <w:rPr>
      <w:i/>
      <w:iCs/>
      <w:color w:val="404040" w:themeColor="text1" w:themeTint="BF"/>
      <w14:textFill>
        <w14:solidFill>
          <w14:schemeClr w14:val="tx1">
            <w14:lumMod w14:val="75000"/>
            <w14:lumOff w14:val="25000"/>
          </w14:schemeClr>
        </w14:solidFill>
      </w14:textFill>
    </w:rPr>
  </w:style>
  <w:style w:type="paragraph" w:customStyle="1" w:styleId="34">
    <w:name w:val="List Paragraph"/>
    <w:basedOn w:val="1"/>
    <w:qFormat/>
    <w:uiPriority w:val="34"/>
    <w:pPr>
      <w:ind w:left="720"/>
      <w:contextualSpacing/>
    </w:pPr>
  </w:style>
  <w:style w:type="character" w:customStyle="1" w:styleId="35">
    <w:name w:val="明显强调1"/>
    <w:basedOn w:val="18"/>
    <w:qFormat/>
    <w:uiPriority w:val="21"/>
    <w:rPr>
      <w:i/>
      <w:iCs/>
      <w:color w:val="104862" w:themeColor="accent1" w:themeShade="BF"/>
    </w:rPr>
  </w:style>
  <w:style w:type="paragraph" w:customStyle="1"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Char"/>
    <w:basedOn w:val="18"/>
    <w:link w:val="36"/>
    <w:qFormat/>
    <w:uiPriority w:val="30"/>
    <w:rPr>
      <w:i/>
      <w:iCs/>
      <w:color w:val="104862" w:themeColor="accent1" w:themeShade="BF"/>
    </w:rPr>
  </w:style>
  <w:style w:type="character" w:customStyle="1" w:styleId="38">
    <w:name w:val="明显参考1"/>
    <w:basedOn w:val="18"/>
    <w:qFormat/>
    <w:uiPriority w:val="32"/>
    <w:rPr>
      <w:b/>
      <w:bCs/>
      <w:smallCaps/>
      <w:color w:val="104862" w:themeColor="accent1" w:themeShade="BF"/>
      <w:spacing w:val="5"/>
    </w:rPr>
  </w:style>
  <w:style w:type="character" w:customStyle="1" w:styleId="39">
    <w:name w:val="页眉 Char"/>
    <w:basedOn w:val="18"/>
    <w:link w:val="13"/>
    <w:qFormat/>
    <w:uiPriority w:val="99"/>
    <w:rPr>
      <w:sz w:val="18"/>
      <w:szCs w:val="18"/>
    </w:rPr>
  </w:style>
  <w:style w:type="character" w:customStyle="1" w:styleId="40">
    <w:name w:val="页脚 Char"/>
    <w:basedOn w:val="18"/>
    <w:link w:val="12"/>
    <w:qFormat/>
    <w:uiPriority w:val="99"/>
    <w:rPr>
      <w:sz w:val="18"/>
      <w:szCs w:val="18"/>
    </w:rPr>
  </w:style>
  <w:style w:type="character" w:customStyle="1" w:styleId="41">
    <w:name w:val="Unresolved Mention"/>
    <w:basedOn w:val="18"/>
    <w:unhideWhenUsed/>
    <w:qFormat/>
    <w:uiPriority w:val="99"/>
    <w:rPr>
      <w:color w:val="605E5C"/>
      <w:shd w:val="clear" w:color="auto" w:fill="E1DFDD"/>
    </w:rPr>
  </w:style>
  <w:style w:type="character" w:customStyle="1" w:styleId="42">
    <w:name w:val="日期 Char"/>
    <w:basedOn w:val="18"/>
    <w:link w:val="11"/>
    <w:semiHidden/>
    <w:qFormat/>
    <w:uiPriority w:val="99"/>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Pages>
  <Words>919</Words>
  <Characters>934</Characters>
  <Lines>6</Lines>
  <Paragraphs>1</Paragraphs>
  <TotalTime>6</TotalTime>
  <ScaleCrop>false</ScaleCrop>
  <LinksUpToDate>false</LinksUpToDate>
  <CharactersWithSpaces>937</CharactersWithSpaces>
  <Application>WPS Office_11.8.2.12125_F1E327BC-269C-435d-A152-05C5408002CA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2026-09-16T01:10:00Z</dcterms:created>
  <dc:creator>朱佩琪</dc:creator>
  <cp:lastModifiedBy>admin</cp:lastModifiedBy>
  <cp:lastPrinted>2026-10-23T09:49:00Z</cp:lastPrinted>
  <dcterms:modified xsi:type="dcterms:W3CDTF">2026-10-27T15:10:21Z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2052-11.8.2.12125</vt:lpwstr>
  </property>
  <property fmtid="{D5CDD505-2E9C-101B-9397-08002B2CF9AE}" pid="3" name="ICV">
    <vt:lpwstr>AF9C908C2CABA2796591BB6ADF02BB47</vt:lpwstr>
  </property>
</Properties>
</file>