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ordWrap w:val="0"/>
        <w:snapToGrid w:val="0"/>
        <w:spacing w:line="580" w:lineRule="atLeast"/>
        <w:rPr>
          <w:rFonts w:ascii="Times New Roman" w:hAnsi="Times New Roman" w:cs="Times New Roman"/>
          <w:color w:val="000000"/>
          <w:kern w:val="0"/>
          <w:szCs w:val="29"/>
        </w:rPr>
      </w:pPr>
      <w:r>
        <w:rPr>
          <w:rFonts w:hint="eastAsia" w:ascii="Times New Roman" w:hAnsi="Times New Roman" w:cs="Times New Roman"/>
          <w:color w:val="000000"/>
          <w:kern w:val="0"/>
          <w:szCs w:val="29"/>
        </w:rPr>
        <w:t>附件1</w:t>
      </w:r>
    </w:p>
    <w:p>
      <w:pPr>
        <w:wordWrap w:val="0"/>
        <w:spacing w:line="600" w:lineRule="atLeast"/>
        <w:jc w:val="center"/>
        <w:rPr>
          <w:rFonts w:ascii="方正小标宋_GBK" w:hAnsi="宋体" w:eastAsia="方正小标宋_GBK" w:cs="宋体"/>
          <w:bCs/>
          <w:color w:val="000000"/>
          <w:kern w:val="0"/>
          <w:sz w:val="44"/>
          <w:szCs w:val="44"/>
        </w:rPr>
      </w:pPr>
    </w:p>
    <w:p>
      <w:pPr>
        <w:wordWrap w:val="0"/>
        <w:spacing w:line="600" w:lineRule="atLeast"/>
        <w:jc w:val="center"/>
        <w:rPr>
          <w:rFonts w:ascii="方正小标宋_GBK" w:hAnsi="宋体" w:eastAsia="方正小标宋_GBK" w:cs="宋体"/>
          <w:bCs/>
          <w:kern w:val="0"/>
          <w:sz w:val="44"/>
          <w:szCs w:val="44"/>
        </w:rPr>
      </w:pPr>
      <w:r>
        <w:rPr>
          <w:rFonts w:hint="eastAsia" w:ascii="方正小标宋_GBK" w:hAnsi="宋体" w:eastAsia="方正小标宋_GBK" w:cs="宋体"/>
          <w:bCs/>
          <w:color w:val="000000"/>
          <w:kern w:val="0"/>
          <w:sz w:val="44"/>
          <w:szCs w:val="44"/>
        </w:rPr>
        <w:t>江苏省城镇管道燃气配气价格管理办法</w:t>
      </w:r>
    </w:p>
    <w:p>
      <w:pPr>
        <w:snapToGrid w:val="0"/>
        <w:spacing w:line="580" w:lineRule="atLeast"/>
        <w:jc w:val="center"/>
        <w:rPr>
          <w:rFonts w:ascii="楷体_GB2312" w:hAnsi="Times New Roman" w:eastAsia="楷体_GB2312" w:cs="宋体"/>
          <w:bCs/>
          <w:color w:val="000000"/>
          <w:kern w:val="0"/>
          <w:szCs w:val="29"/>
        </w:rPr>
      </w:pPr>
      <w:r>
        <w:rPr>
          <w:rFonts w:hint="eastAsia" w:ascii="楷体_GB2312" w:hAnsi="Times New Roman" w:eastAsia="楷体_GB2312" w:cs="宋体"/>
          <w:bCs/>
          <w:color w:val="000000"/>
          <w:kern w:val="0"/>
          <w:szCs w:val="29"/>
        </w:rPr>
        <w:t>（修订征求意见稿）</w:t>
      </w:r>
    </w:p>
    <w:p>
      <w:pPr>
        <w:snapToGrid w:val="0"/>
        <w:spacing w:line="580" w:lineRule="atLeast"/>
        <w:ind w:firstLine="641"/>
        <w:jc w:val="center"/>
        <w:rPr>
          <w:rFonts w:ascii="Times New Roman" w:hAnsi="Times New Roman" w:eastAsia="黑体" w:cs="宋体"/>
          <w:bCs/>
          <w:color w:val="000000"/>
          <w:kern w:val="0"/>
          <w:szCs w:val="29"/>
        </w:rPr>
      </w:pPr>
    </w:p>
    <w:p>
      <w:pPr>
        <w:wordWrap w:val="0"/>
        <w:snapToGrid w:val="0"/>
        <w:spacing w:line="580" w:lineRule="atLeast"/>
        <w:ind w:firstLine="641"/>
        <w:rPr>
          <w:rFonts w:hint="default" w:ascii="Times New Roman" w:hAnsi="Times New Roman" w:eastAsia="方正仿宋_GBK" w:cs="Times New Roman"/>
          <w:kern w:val="0"/>
          <w:sz w:val="24"/>
          <w:szCs w:val="32"/>
        </w:rPr>
      </w:pPr>
      <w:r>
        <w:rPr>
          <w:rFonts w:hint="eastAsia" w:ascii="黑体" w:hAnsi="黑体" w:eastAsia="黑体" w:cs="黑体"/>
          <w:bCs/>
          <w:color w:val="000000"/>
          <w:kern w:val="0"/>
          <w:szCs w:val="29"/>
        </w:rPr>
        <w:t>第一条</w:t>
      </w:r>
      <w:r>
        <w:rPr>
          <w:rFonts w:hint="default" w:ascii="Times New Roman" w:hAnsi="Times New Roman" w:eastAsia="方正仿宋_GBK" w:cs="Times New Roman"/>
          <w:bCs/>
          <w:color w:val="000000"/>
          <w:kern w:val="0"/>
          <w:szCs w:val="29"/>
        </w:rPr>
        <w:t xml:space="preserve"> </w:t>
      </w:r>
      <w:r>
        <w:rPr>
          <w:rFonts w:hint="default" w:ascii="Times New Roman" w:hAnsi="Times New Roman" w:eastAsia="方正仿宋_GBK" w:cs="Times New Roman"/>
          <w:bCs/>
          <w:color w:val="000000"/>
          <w:kern w:val="0"/>
          <w:szCs w:val="32"/>
        </w:rPr>
        <w:t>为了规范城镇管道</w:t>
      </w:r>
      <w:r>
        <w:rPr>
          <w:rFonts w:hint="default" w:ascii="Times New Roman" w:hAnsi="Times New Roman" w:eastAsia="方正仿宋_GBK" w:cs="Times New Roman"/>
          <w:color w:val="000000"/>
          <w:kern w:val="0"/>
          <w:szCs w:val="29"/>
        </w:rPr>
        <w:t>燃气</w:t>
      </w:r>
      <w:r>
        <w:rPr>
          <w:rFonts w:hint="default" w:ascii="Times New Roman" w:hAnsi="Times New Roman" w:eastAsia="方正仿宋_GBK" w:cs="Times New Roman"/>
          <w:bCs/>
          <w:color w:val="000000"/>
          <w:kern w:val="0"/>
          <w:szCs w:val="32"/>
        </w:rPr>
        <w:t>配送环节定价行为，提高定价的科学性、合理性和透明度，</w:t>
      </w:r>
      <w:r>
        <w:rPr>
          <w:rFonts w:hint="default" w:ascii="Times New Roman" w:hAnsi="Times New Roman" w:eastAsia="方正仿宋_GBK" w:cs="Times New Roman"/>
          <w:color w:val="000000"/>
          <w:kern w:val="0"/>
          <w:szCs w:val="29"/>
        </w:rPr>
        <w:t>促进城镇管道燃气行业健康发展，依据《中华人民共和国价格法》《江苏省价格条例》和国家发展改革委《关于加强配气价格监管的指导意见》</w:t>
      </w:r>
      <w:r>
        <w:rPr>
          <w:rFonts w:hint="default" w:ascii="Times New Roman" w:hAnsi="Times New Roman" w:eastAsia="方正仿宋_GBK" w:cs="Times New Roman"/>
          <w:bCs/>
          <w:color w:val="000000"/>
          <w:szCs w:val="32"/>
        </w:rPr>
        <w:t>（发改价格〔2017〕1171号）、《江苏省定价目录》</w:t>
      </w:r>
      <w:r>
        <w:rPr>
          <w:rFonts w:hint="default" w:ascii="Times New Roman" w:hAnsi="Times New Roman" w:eastAsia="方正仿宋_GBK" w:cs="Times New Roman"/>
          <w:color w:val="000000"/>
          <w:kern w:val="0"/>
          <w:szCs w:val="29"/>
        </w:rPr>
        <w:t>等规定，制定本办法。</w:t>
      </w:r>
    </w:p>
    <w:p>
      <w:pPr>
        <w:wordWrap w:val="0"/>
        <w:snapToGrid w:val="0"/>
        <w:spacing w:line="580" w:lineRule="atLeast"/>
        <w:ind w:firstLine="641"/>
        <w:rPr>
          <w:rFonts w:hint="default" w:ascii="Times New Roman" w:hAnsi="Times New Roman" w:eastAsia="方正仿宋_GBK" w:cs="Times New Roman"/>
          <w:color w:val="000000"/>
          <w:kern w:val="0"/>
          <w:szCs w:val="18"/>
        </w:rPr>
      </w:pPr>
      <w:r>
        <w:rPr>
          <w:rFonts w:hint="default" w:ascii="黑体" w:hAnsi="黑体" w:eastAsia="黑体" w:cs="黑体"/>
          <w:bCs/>
          <w:color w:val="000000"/>
          <w:kern w:val="0"/>
          <w:szCs w:val="29"/>
        </w:rPr>
        <w:t>第二条</w:t>
      </w:r>
      <w:r>
        <w:rPr>
          <w:rFonts w:hint="default" w:ascii="Times New Roman" w:hAnsi="Times New Roman" w:eastAsia="方正仿宋_GBK" w:cs="Times New Roman"/>
          <w:bCs/>
          <w:color w:val="000000"/>
          <w:kern w:val="0"/>
          <w:szCs w:val="29"/>
        </w:rPr>
        <w:t xml:space="preserve"> </w:t>
      </w:r>
      <w:r>
        <w:rPr>
          <w:rFonts w:hint="default" w:ascii="Times New Roman" w:hAnsi="Times New Roman" w:eastAsia="方正仿宋_GBK" w:cs="Times New Roman"/>
          <w:color w:val="000000"/>
          <w:kern w:val="0"/>
          <w:szCs w:val="29"/>
        </w:rPr>
        <w:t>本办法适用于江苏省行政区域内制定和调整城镇管道燃气配气价格的行为。</w:t>
      </w:r>
    </w:p>
    <w:p>
      <w:pPr>
        <w:wordWrap w:val="0"/>
        <w:snapToGrid w:val="0"/>
        <w:spacing w:line="580" w:lineRule="atLeast"/>
        <w:ind w:firstLine="641"/>
        <w:rPr>
          <w:rFonts w:hint="default" w:ascii="Times New Roman" w:hAnsi="Times New Roman" w:eastAsia="方正仿宋_GBK" w:cs="Times New Roman"/>
          <w:color w:val="000000"/>
          <w:kern w:val="0"/>
          <w:szCs w:val="29"/>
        </w:rPr>
      </w:pPr>
      <w:r>
        <w:rPr>
          <w:rFonts w:hint="default" w:ascii="黑体" w:hAnsi="黑体" w:eastAsia="黑体" w:cs="黑体"/>
          <w:bCs/>
          <w:color w:val="000000"/>
          <w:kern w:val="0"/>
          <w:szCs w:val="29"/>
        </w:rPr>
        <w:t>第三条</w:t>
      </w:r>
      <w:r>
        <w:rPr>
          <w:rFonts w:hint="default" w:ascii="Times New Roman" w:hAnsi="Times New Roman" w:eastAsia="方正仿宋_GBK" w:cs="Times New Roman"/>
          <w:bCs/>
          <w:color w:val="000000"/>
          <w:kern w:val="0"/>
          <w:szCs w:val="29"/>
        </w:rPr>
        <w:t xml:space="preserve"> </w:t>
      </w:r>
      <w:r>
        <w:rPr>
          <w:rFonts w:hint="default" w:ascii="Times New Roman" w:hAnsi="Times New Roman" w:eastAsia="方正仿宋_GBK" w:cs="Times New Roman"/>
          <w:color w:val="000000"/>
          <w:kern w:val="0"/>
          <w:szCs w:val="29"/>
        </w:rPr>
        <w:t>城镇管道燃气配气价格（以下简称配气价格），是指城镇管道燃气经营企业通过城镇配气管网向终端用户提供燃气配送服务的价格。</w:t>
      </w:r>
    </w:p>
    <w:p>
      <w:pPr>
        <w:wordWrap w:val="0"/>
        <w:snapToGrid w:val="0"/>
        <w:spacing w:line="580" w:lineRule="atLeast"/>
        <w:ind w:firstLine="641"/>
        <w:rPr>
          <w:rFonts w:hint="default" w:ascii="Times New Roman" w:hAnsi="Times New Roman" w:eastAsia="方正仿宋_GBK" w:cs="Times New Roman"/>
          <w:color w:val="000000"/>
          <w:kern w:val="0"/>
          <w:szCs w:val="29"/>
        </w:rPr>
      </w:pPr>
      <w:r>
        <w:rPr>
          <w:rFonts w:hint="default" w:ascii="Times New Roman" w:hAnsi="Times New Roman" w:eastAsia="方正仿宋_GBK" w:cs="Times New Roman"/>
          <w:color w:val="000000"/>
          <w:kern w:val="0"/>
          <w:szCs w:val="29"/>
        </w:rPr>
        <w:t>本办法所称城镇管道燃气经营企业（以下简称燃气企业），是指依法取得燃气经营许可，拥有独立管网系统及储气调压等设施，具备燃气经营能力的企业法人。</w:t>
      </w:r>
    </w:p>
    <w:p>
      <w:pPr>
        <w:wordWrap w:val="0"/>
        <w:snapToGrid w:val="0"/>
        <w:spacing w:line="580" w:lineRule="atLeast"/>
        <w:ind w:firstLine="641"/>
        <w:rPr>
          <w:rFonts w:hint="default" w:ascii="Times New Roman" w:hAnsi="Times New Roman" w:eastAsia="方正仿宋_GBK" w:cs="Times New Roman"/>
          <w:color w:val="000000"/>
          <w:kern w:val="0"/>
          <w:szCs w:val="29"/>
        </w:rPr>
      </w:pPr>
      <w:r>
        <w:rPr>
          <w:rFonts w:hint="default" w:ascii="Times New Roman" w:hAnsi="Times New Roman" w:eastAsia="方正仿宋_GBK" w:cs="Times New Roman"/>
          <w:color w:val="000000"/>
          <w:kern w:val="0"/>
          <w:szCs w:val="29"/>
        </w:rPr>
        <w:t>本办法所称配气管网，是指将门站（接收站）、压缩天然气及液化天然气储备站的燃气输送到储气点、调压站和用户的管道及配套设施系统。</w:t>
      </w:r>
    </w:p>
    <w:p>
      <w:pPr>
        <w:wordWrap w:val="0"/>
        <w:snapToGrid w:val="0"/>
        <w:spacing w:line="600" w:lineRule="atLeast"/>
        <w:ind w:firstLine="640"/>
        <w:rPr>
          <w:rFonts w:hint="default" w:ascii="Times New Roman" w:hAnsi="Times New Roman" w:eastAsia="方正仿宋_GBK" w:cs="Times New Roman"/>
          <w:color w:val="000000"/>
          <w:kern w:val="0"/>
          <w:szCs w:val="29"/>
        </w:rPr>
      </w:pPr>
      <w:r>
        <w:rPr>
          <w:rFonts w:hint="default" w:ascii="黑体" w:hAnsi="黑体" w:eastAsia="黑体" w:cs="黑体"/>
          <w:bCs/>
          <w:color w:val="000000"/>
          <w:kern w:val="0"/>
          <w:szCs w:val="29"/>
        </w:rPr>
        <w:t>第四条</w:t>
      </w:r>
      <w:r>
        <w:rPr>
          <w:rFonts w:hint="default" w:ascii="Times New Roman" w:hAnsi="Times New Roman" w:eastAsia="方正仿宋_GBK" w:cs="Times New Roman"/>
          <w:bCs/>
          <w:color w:val="000000"/>
          <w:kern w:val="0"/>
          <w:szCs w:val="29"/>
        </w:rPr>
        <w:t xml:space="preserve"> </w:t>
      </w:r>
      <w:r>
        <w:rPr>
          <w:rFonts w:hint="default" w:ascii="Times New Roman" w:hAnsi="Times New Roman" w:eastAsia="方正仿宋_GBK" w:cs="Times New Roman"/>
          <w:bCs/>
          <w:color w:val="000000"/>
          <w:kern w:val="0"/>
          <w:szCs w:val="32"/>
        </w:rPr>
        <w:t>配气价格实行政府定价或者政府指导价，具体定价权限按照《江苏省定价目录》规定执行。同一城镇配气价格原则上应当统一，远离主城区、配气管网独立的，可单独制定和调整配气价格。</w:t>
      </w:r>
    </w:p>
    <w:p>
      <w:pPr>
        <w:wordWrap w:val="0"/>
        <w:snapToGrid w:val="0"/>
        <w:spacing w:line="600" w:lineRule="atLeast"/>
        <w:ind w:firstLine="632" w:firstLineChars="200"/>
        <w:rPr>
          <w:rFonts w:hint="default" w:ascii="Times New Roman" w:hAnsi="Times New Roman" w:eastAsia="方正仿宋_GBK" w:cs="Times New Roman"/>
          <w:kern w:val="0"/>
          <w:sz w:val="24"/>
          <w:szCs w:val="32"/>
        </w:rPr>
      </w:pPr>
      <w:r>
        <w:rPr>
          <w:rFonts w:hint="default" w:ascii="黑体" w:hAnsi="黑体" w:eastAsia="黑体" w:cs="黑体"/>
          <w:bCs/>
          <w:color w:val="000000"/>
          <w:kern w:val="0"/>
          <w:szCs w:val="29"/>
        </w:rPr>
        <w:t>第五条</w:t>
      </w:r>
      <w:r>
        <w:rPr>
          <w:rFonts w:hint="default" w:ascii="Times New Roman" w:hAnsi="Times New Roman" w:eastAsia="方正仿宋_GBK" w:cs="Times New Roman"/>
          <w:bCs/>
          <w:color w:val="000000"/>
          <w:kern w:val="0"/>
          <w:szCs w:val="29"/>
        </w:rPr>
        <w:t xml:space="preserve"> </w:t>
      </w:r>
      <w:r>
        <w:rPr>
          <w:rFonts w:hint="default" w:ascii="Times New Roman" w:hAnsi="Times New Roman" w:eastAsia="方正仿宋_GBK" w:cs="Times New Roman"/>
          <w:color w:val="000000"/>
          <w:kern w:val="0"/>
          <w:szCs w:val="29"/>
        </w:rPr>
        <w:t>燃气企业原则上应当将配气业务与其他业务分离。燃气安装、配送及销售一体化经营的企业暂不能实现业务分离的，</w:t>
      </w:r>
      <w:r>
        <w:rPr>
          <w:rFonts w:hint="default" w:ascii="Times New Roman" w:hAnsi="Times New Roman" w:eastAsia="方正仿宋_GBK" w:cs="Times New Roman"/>
          <w:bCs/>
          <w:color w:val="000000"/>
          <w:kern w:val="0"/>
          <w:szCs w:val="32"/>
        </w:rPr>
        <w:t>应当实现配气业务财务独立核算，完整准确记录配气业务的生产经营成本和收入</w:t>
      </w:r>
      <w:r>
        <w:rPr>
          <w:rFonts w:hint="default" w:ascii="Times New Roman" w:hAnsi="Times New Roman" w:eastAsia="方正仿宋_GBK" w:cs="Times New Roman"/>
          <w:color w:val="000000"/>
          <w:kern w:val="0"/>
          <w:szCs w:val="32"/>
        </w:rPr>
        <w:t>。</w:t>
      </w:r>
    </w:p>
    <w:p>
      <w:pPr>
        <w:wordWrap w:val="0"/>
        <w:snapToGrid w:val="0"/>
        <w:spacing w:line="600" w:lineRule="atLeast"/>
        <w:ind w:firstLine="640"/>
        <w:rPr>
          <w:rFonts w:hint="default" w:ascii="Times New Roman" w:hAnsi="Times New Roman" w:eastAsia="方正仿宋_GBK" w:cs="Times New Roman"/>
          <w:color w:val="000000"/>
          <w:kern w:val="0"/>
          <w:szCs w:val="29"/>
        </w:rPr>
      </w:pPr>
      <w:r>
        <w:rPr>
          <w:rFonts w:hint="default" w:ascii="黑体" w:hAnsi="黑体" w:eastAsia="黑体" w:cs="黑体"/>
          <w:bCs/>
          <w:color w:val="000000"/>
          <w:kern w:val="0"/>
          <w:szCs w:val="29"/>
        </w:rPr>
        <w:t>第六条</w:t>
      </w:r>
      <w:r>
        <w:rPr>
          <w:rFonts w:hint="default" w:ascii="Times New Roman" w:hAnsi="Times New Roman" w:eastAsia="方正仿宋_GBK" w:cs="Times New Roman"/>
          <w:bCs/>
          <w:color w:val="000000"/>
          <w:kern w:val="0"/>
          <w:szCs w:val="29"/>
        </w:rPr>
        <w:t xml:space="preserve"> </w:t>
      </w:r>
      <w:r>
        <w:rPr>
          <w:rFonts w:hint="default" w:ascii="Times New Roman" w:hAnsi="Times New Roman" w:eastAsia="方正仿宋_GBK" w:cs="Times New Roman"/>
          <w:color w:val="000000"/>
          <w:kern w:val="0"/>
          <w:szCs w:val="29"/>
        </w:rPr>
        <w:t>配气价格按照“准许成本加合理收益”的原则制定，通过核定燃气企业的准许成本，监管准许收益，考虑税收等因素确定年度准许总收入，制定配气价格，即准许总收入=准许成本+准许收益+税费。</w:t>
      </w:r>
    </w:p>
    <w:p>
      <w:pPr>
        <w:wordWrap w:val="0"/>
        <w:snapToGrid w:val="0"/>
        <w:spacing w:line="600" w:lineRule="atLeast"/>
        <w:ind w:firstLine="640"/>
        <w:rPr>
          <w:rFonts w:hint="default" w:ascii="Times New Roman" w:hAnsi="Times New Roman" w:eastAsia="方正仿宋_GBK" w:cs="Times New Roman"/>
          <w:color w:val="000000"/>
          <w:kern w:val="0"/>
          <w:szCs w:val="29"/>
        </w:rPr>
      </w:pPr>
      <w:r>
        <w:rPr>
          <w:rFonts w:hint="default" w:ascii="Times New Roman" w:hAnsi="Times New Roman" w:eastAsia="方正仿宋_GBK" w:cs="Times New Roman"/>
          <w:color w:val="000000"/>
          <w:kern w:val="0"/>
          <w:szCs w:val="29"/>
        </w:rPr>
        <w:t>有条件的地区可在合理分摊配气成本的基础上分别制定居民用气和工业、商业等非居民用气配气价格。</w:t>
      </w:r>
    </w:p>
    <w:p>
      <w:pPr>
        <w:wordWrap w:val="0"/>
        <w:snapToGrid w:val="0"/>
        <w:spacing w:line="600" w:lineRule="atLeast"/>
        <w:ind w:firstLine="640"/>
        <w:rPr>
          <w:rFonts w:hint="default" w:ascii="Times New Roman" w:hAnsi="Times New Roman" w:eastAsia="方正仿宋_GBK" w:cs="Times New Roman"/>
          <w:color w:val="000000"/>
          <w:kern w:val="0"/>
          <w:szCs w:val="29"/>
        </w:rPr>
      </w:pPr>
      <w:r>
        <w:rPr>
          <w:rFonts w:hint="default" w:ascii="黑体" w:hAnsi="黑体" w:eastAsia="黑体" w:cs="黑体"/>
          <w:bCs/>
          <w:color w:val="000000"/>
          <w:kern w:val="0"/>
          <w:szCs w:val="29"/>
        </w:rPr>
        <w:t>第七条</w:t>
      </w:r>
      <w:r>
        <w:rPr>
          <w:rFonts w:hint="default" w:ascii="Times New Roman" w:hAnsi="Times New Roman" w:eastAsia="方正仿宋_GBK" w:cs="Times New Roman"/>
          <w:bCs/>
          <w:color w:val="000000"/>
          <w:kern w:val="0"/>
          <w:szCs w:val="29"/>
        </w:rPr>
        <w:t xml:space="preserve"> </w:t>
      </w:r>
      <w:r>
        <w:rPr>
          <w:rFonts w:hint="default" w:ascii="Times New Roman" w:hAnsi="Times New Roman" w:eastAsia="方正仿宋_GBK" w:cs="Times New Roman"/>
          <w:color w:val="000000"/>
          <w:kern w:val="0"/>
          <w:szCs w:val="29"/>
        </w:rPr>
        <w:t>准许成本包括折旧及摊销费、运行维护费，通过成本监审核定。</w:t>
      </w:r>
    </w:p>
    <w:p>
      <w:pPr>
        <w:wordWrap w:val="0"/>
        <w:snapToGrid w:val="0"/>
        <w:spacing w:line="600" w:lineRule="atLeast"/>
        <w:ind w:firstLine="640"/>
        <w:rPr>
          <w:rFonts w:hint="default" w:ascii="Times New Roman" w:hAnsi="Times New Roman" w:eastAsia="方正仿宋_GBK" w:cs="Times New Roman"/>
          <w:color w:val="000000"/>
          <w:kern w:val="0"/>
          <w:szCs w:val="29"/>
        </w:rPr>
      </w:pPr>
      <w:r>
        <w:rPr>
          <w:rFonts w:hint="default" w:ascii="黑体" w:hAnsi="黑体" w:eastAsia="黑体" w:cs="黑体"/>
          <w:bCs/>
          <w:color w:val="000000"/>
          <w:kern w:val="0"/>
          <w:szCs w:val="29"/>
        </w:rPr>
        <w:t>第八条</w:t>
      </w:r>
      <w:r>
        <w:rPr>
          <w:rFonts w:hint="default" w:ascii="Times New Roman" w:hAnsi="Times New Roman" w:eastAsia="方正仿宋_GBK" w:cs="Times New Roman"/>
          <w:bCs/>
          <w:color w:val="000000"/>
          <w:kern w:val="0"/>
          <w:szCs w:val="29"/>
        </w:rPr>
        <w:t xml:space="preserve"> </w:t>
      </w:r>
      <w:r>
        <w:rPr>
          <w:rFonts w:hint="default" w:ascii="Times New Roman" w:hAnsi="Times New Roman" w:eastAsia="方正仿宋_GBK" w:cs="Times New Roman"/>
          <w:color w:val="000000"/>
          <w:kern w:val="0"/>
          <w:szCs w:val="29"/>
        </w:rPr>
        <w:t>准许收益按有效资产乘以准许收益率计算确定，即准许收益=有效资产×准许收益率。其中：</w:t>
      </w:r>
    </w:p>
    <w:p>
      <w:pPr>
        <w:wordWrap w:val="0"/>
        <w:snapToGrid w:val="0"/>
        <w:spacing w:line="600" w:lineRule="atLeast"/>
        <w:ind w:firstLine="640"/>
        <w:rPr>
          <w:rFonts w:hint="default" w:ascii="Times New Roman" w:hAnsi="Times New Roman" w:eastAsia="方正仿宋_GBK" w:cs="Times New Roman"/>
          <w:color w:val="000000"/>
          <w:kern w:val="0"/>
          <w:szCs w:val="29"/>
        </w:rPr>
      </w:pPr>
      <w:r>
        <w:rPr>
          <w:rFonts w:hint="default" w:ascii="Times New Roman" w:hAnsi="Times New Roman" w:eastAsia="方正仿宋_GBK" w:cs="Times New Roman"/>
          <w:color w:val="000000"/>
          <w:kern w:val="0"/>
          <w:szCs w:val="29"/>
        </w:rPr>
        <w:t>（一）有效资产为燃气企业投入、与配气业务相关的可计提收益的资产，</w:t>
      </w:r>
      <w:r>
        <w:rPr>
          <w:rFonts w:hint="default" w:ascii="Times New Roman" w:hAnsi="Times New Roman" w:eastAsia="方正仿宋_GBK" w:cs="Times New Roman"/>
          <w:color w:val="000000"/>
          <w:kern w:val="0"/>
          <w:szCs w:val="32"/>
        </w:rPr>
        <w:t>由固定资产净值</w:t>
      </w:r>
      <w:r>
        <w:rPr>
          <w:rFonts w:hint="default" w:ascii="Times New Roman" w:hAnsi="Times New Roman" w:eastAsia="方正仿宋_GBK" w:cs="Times New Roman"/>
          <w:color w:val="000000"/>
          <w:kern w:val="0"/>
          <w:szCs w:val="29"/>
        </w:rPr>
        <w:t>、无形资产净值和营运资本组成。</w:t>
      </w:r>
      <w:r>
        <w:rPr>
          <w:rFonts w:hint="default" w:ascii="Times New Roman" w:hAnsi="Times New Roman" w:eastAsia="方正仿宋_GBK" w:cs="Times New Roman"/>
          <w:color w:val="000000"/>
          <w:kern w:val="0"/>
          <w:szCs w:val="32"/>
        </w:rPr>
        <w:t>其中，固定资产净值</w:t>
      </w:r>
      <w:r>
        <w:rPr>
          <w:rFonts w:hint="default" w:ascii="Times New Roman" w:hAnsi="Times New Roman" w:eastAsia="方正仿宋_GBK" w:cs="Times New Roman"/>
          <w:color w:val="000000"/>
          <w:kern w:val="0"/>
          <w:szCs w:val="29"/>
        </w:rPr>
        <w:t>、无形资产净值根据成本监审期间最末一年可计提折旧、可摊销计入定价成本的固定资产和无形资产原值所对应的账面净值，通过成本监审确定。营运资本按运行维护费的20%确定。</w:t>
      </w:r>
    </w:p>
    <w:p>
      <w:pPr>
        <w:wordWrap w:val="0"/>
        <w:snapToGrid w:val="0"/>
        <w:spacing w:line="600" w:lineRule="atLeast"/>
        <w:ind w:firstLine="640"/>
        <w:rPr>
          <w:rFonts w:hint="default" w:ascii="Times New Roman" w:hAnsi="Times New Roman" w:eastAsia="方正仿宋_GBK" w:cs="Times New Roman"/>
          <w:color w:val="000000"/>
          <w:kern w:val="0"/>
          <w:szCs w:val="32"/>
        </w:rPr>
      </w:pPr>
      <w:r>
        <w:rPr>
          <w:rFonts w:hint="default" w:ascii="Times New Roman" w:hAnsi="Times New Roman" w:eastAsia="方正仿宋_GBK" w:cs="Times New Roman"/>
          <w:color w:val="000000"/>
          <w:kern w:val="0"/>
          <w:szCs w:val="29"/>
        </w:rPr>
        <w:t>有效资产包括由燃气企业投资建设的市政管网、市政管网到建筑区划红线外的管网资产，城镇区域内自建自用的储气设施资产，</w:t>
      </w:r>
      <w:r>
        <w:rPr>
          <w:rFonts w:hint="default" w:ascii="Times New Roman" w:hAnsi="Times New Roman" w:eastAsia="方正仿宋_GBK" w:cs="Times New Roman"/>
          <w:szCs w:val="32"/>
        </w:rPr>
        <w:t>为保障供暖季民生用气的应急调峰储气设施，</w:t>
      </w:r>
      <w:r>
        <w:rPr>
          <w:rFonts w:hint="default" w:ascii="Times New Roman" w:hAnsi="Times New Roman" w:eastAsia="方正仿宋_GBK" w:cs="Times New Roman"/>
          <w:color w:val="000000"/>
          <w:kern w:val="0"/>
          <w:szCs w:val="29"/>
        </w:rPr>
        <w:t>以及其他与配气业务相关的设备设施等资产；</w:t>
      </w:r>
      <w:r>
        <w:rPr>
          <w:rFonts w:hint="default" w:ascii="Times New Roman" w:hAnsi="Times New Roman" w:eastAsia="方正仿宋_GBK" w:cs="Times New Roman"/>
          <w:color w:val="000000"/>
          <w:kern w:val="0"/>
          <w:szCs w:val="32"/>
        </w:rPr>
        <w:t>不包括建筑区划内业主共有和专有资产，政府无偿投入、政府补助和社会无偿投入的资产，无偿接收的资产，未投入实际使用的资产，不能提供资产价值有效证明的资产，资产评估增值部分以及向用户收取费用形成的资产。</w:t>
      </w:r>
    </w:p>
    <w:p>
      <w:pPr>
        <w:wordWrap w:val="0"/>
        <w:snapToGrid w:val="0"/>
        <w:spacing w:line="600" w:lineRule="atLeast"/>
        <w:ind w:firstLine="640"/>
        <w:rPr>
          <w:rFonts w:hint="default" w:ascii="Times New Roman" w:hAnsi="Times New Roman" w:eastAsia="方正仿宋_GBK" w:cs="Times New Roman"/>
          <w:color w:val="000000"/>
          <w:kern w:val="0"/>
          <w:szCs w:val="18"/>
        </w:rPr>
      </w:pPr>
      <w:r>
        <w:rPr>
          <w:rFonts w:hint="default" w:ascii="Times New Roman" w:hAnsi="Times New Roman" w:eastAsia="方正仿宋_GBK" w:cs="Times New Roman"/>
          <w:color w:val="000000"/>
          <w:kern w:val="0"/>
          <w:szCs w:val="29"/>
        </w:rPr>
        <w:t>（二）准许收益率为税后全投资收益率，按不超过7%确定。</w:t>
      </w:r>
    </w:p>
    <w:p>
      <w:pPr>
        <w:wordWrap w:val="0"/>
        <w:snapToGrid w:val="0"/>
        <w:spacing w:line="600" w:lineRule="atLeast"/>
        <w:ind w:firstLine="640"/>
        <w:rPr>
          <w:rFonts w:hint="default" w:ascii="Times New Roman" w:hAnsi="Times New Roman" w:eastAsia="方正仿宋_GBK" w:cs="Times New Roman"/>
          <w:color w:val="000000"/>
          <w:kern w:val="0"/>
          <w:szCs w:val="18"/>
        </w:rPr>
      </w:pPr>
      <w:r>
        <w:rPr>
          <w:rFonts w:hint="default" w:ascii="黑体" w:hAnsi="黑体" w:eastAsia="黑体" w:cs="黑体"/>
          <w:bCs/>
          <w:color w:val="000000"/>
          <w:kern w:val="0"/>
          <w:szCs w:val="29"/>
        </w:rPr>
        <w:t>第九条</w:t>
      </w:r>
      <w:r>
        <w:rPr>
          <w:rFonts w:hint="default" w:ascii="Times New Roman" w:hAnsi="Times New Roman" w:eastAsia="方正仿宋_GBK" w:cs="Times New Roman"/>
          <w:bCs/>
          <w:color w:val="000000"/>
          <w:kern w:val="0"/>
          <w:szCs w:val="29"/>
        </w:rPr>
        <w:t xml:space="preserve"> </w:t>
      </w:r>
      <w:r>
        <w:rPr>
          <w:rFonts w:hint="default" w:ascii="Times New Roman" w:hAnsi="Times New Roman" w:eastAsia="方正仿宋_GBK" w:cs="Times New Roman"/>
          <w:color w:val="000000"/>
          <w:kern w:val="0"/>
          <w:szCs w:val="29"/>
        </w:rPr>
        <w:t>税费依据国家现行税法相关规定确定，包括企业所得税、城市维护建设税、教育费附加。</w:t>
      </w:r>
    </w:p>
    <w:p>
      <w:pPr>
        <w:wordWrap w:val="0"/>
        <w:snapToGrid w:val="0"/>
        <w:spacing w:line="600" w:lineRule="atLeast"/>
        <w:ind w:firstLine="640"/>
        <w:rPr>
          <w:rFonts w:hint="default" w:ascii="Times New Roman" w:hAnsi="Times New Roman" w:eastAsia="方正仿宋_GBK" w:cs="Times New Roman"/>
          <w:color w:val="000000"/>
          <w:kern w:val="0"/>
          <w:szCs w:val="29"/>
        </w:rPr>
      </w:pPr>
      <w:r>
        <w:rPr>
          <w:rFonts w:hint="default" w:ascii="黑体" w:hAnsi="黑体" w:eastAsia="黑体" w:cs="黑体"/>
          <w:bCs/>
          <w:color w:val="000000"/>
          <w:kern w:val="0"/>
          <w:szCs w:val="29"/>
        </w:rPr>
        <w:t>第十条</w:t>
      </w:r>
      <w:r>
        <w:rPr>
          <w:rFonts w:hint="default" w:ascii="Times New Roman" w:hAnsi="Times New Roman" w:eastAsia="方正仿宋_GBK" w:cs="Times New Roman"/>
          <w:bCs/>
          <w:color w:val="000000"/>
          <w:kern w:val="0"/>
          <w:szCs w:val="29"/>
        </w:rPr>
        <w:t xml:space="preserve"> </w:t>
      </w:r>
      <w:r>
        <w:rPr>
          <w:rFonts w:hint="default" w:ascii="Times New Roman" w:hAnsi="Times New Roman" w:eastAsia="方正仿宋_GBK" w:cs="Times New Roman"/>
          <w:color w:val="000000"/>
          <w:kern w:val="0"/>
          <w:szCs w:val="29"/>
        </w:rPr>
        <w:t>配气价格按企业年度准许总收入除以年度配送气量计算确定，即配气价格=企业年度准许总收入÷年度配送气量。</w:t>
      </w:r>
    </w:p>
    <w:p>
      <w:pPr>
        <w:widowControl/>
        <w:shd w:val="solid" w:color="FFFFFF" w:fill="auto"/>
        <w:wordWrap w:val="0"/>
        <w:snapToGrid w:val="0"/>
        <w:spacing w:line="600" w:lineRule="atLeast"/>
        <w:ind w:firstLine="632" w:firstLineChars="200"/>
        <w:jc w:val="left"/>
        <w:rPr>
          <w:rFonts w:hint="default" w:ascii="Times New Roman" w:hAnsi="Times New Roman" w:eastAsia="方正仿宋_GBK" w:cs="Times New Roman"/>
          <w:color w:val="000000"/>
          <w:kern w:val="0"/>
          <w:sz w:val="30"/>
          <w:shd w:val="clear" w:color="auto" w:fill="FFFFFF"/>
        </w:rPr>
      </w:pPr>
      <w:r>
        <w:rPr>
          <w:rFonts w:hint="default" w:ascii="Times New Roman" w:hAnsi="Times New Roman" w:eastAsia="方正仿宋_GBK" w:cs="Times New Roman"/>
          <w:color w:val="000000"/>
          <w:kern w:val="0"/>
          <w:szCs w:val="29"/>
        </w:rPr>
        <w:t>配送气量按照成本监审周期最末一年燃气企业年度销售气量</w:t>
      </w:r>
      <w:r>
        <w:rPr>
          <w:rFonts w:hint="default" w:ascii="Times New Roman" w:hAnsi="Times New Roman" w:eastAsia="方正仿宋_GBK" w:cs="Times New Roman"/>
          <w:color w:val="000000"/>
          <w:kern w:val="0"/>
          <w:szCs w:val="32"/>
        </w:rPr>
        <w:t>（不包括</w:t>
      </w:r>
      <w:r>
        <w:rPr>
          <w:rFonts w:hint="default" w:ascii="Times New Roman" w:hAnsi="Times New Roman" w:eastAsia="方正仿宋_GBK" w:cs="Times New Roman"/>
          <w:color w:val="000000"/>
          <w:kern w:val="0"/>
          <w:szCs w:val="29"/>
        </w:rPr>
        <w:t>燃气企业之间的转供和为第三方提供代输</w:t>
      </w:r>
      <w:r>
        <w:rPr>
          <w:rFonts w:hint="default" w:ascii="Times New Roman" w:hAnsi="Times New Roman" w:eastAsia="方正仿宋_GBK" w:cs="Times New Roman"/>
          <w:color w:val="000000"/>
          <w:kern w:val="0"/>
          <w:szCs w:val="32"/>
        </w:rPr>
        <w:t>气量）</w:t>
      </w:r>
      <w:r>
        <w:rPr>
          <w:rFonts w:hint="default" w:ascii="Times New Roman" w:hAnsi="Times New Roman" w:eastAsia="方正仿宋_GBK" w:cs="Times New Roman"/>
          <w:color w:val="000000"/>
          <w:kern w:val="0"/>
          <w:szCs w:val="29"/>
        </w:rPr>
        <w:t>，并参考历史变化及预测气量增减情况等因素确定。配送气量较大幅度低于设计能力的，按不低于设计能力的50%计算确定。</w:t>
      </w:r>
    </w:p>
    <w:p>
      <w:pPr>
        <w:wordWrap w:val="0"/>
        <w:snapToGrid w:val="0"/>
        <w:spacing w:line="600" w:lineRule="atLeast"/>
        <w:ind w:firstLine="640"/>
        <w:rPr>
          <w:rFonts w:hint="default" w:ascii="Times New Roman" w:hAnsi="Times New Roman" w:eastAsia="方正仿宋_GBK" w:cs="Times New Roman"/>
          <w:color w:val="000000"/>
          <w:kern w:val="0"/>
          <w:szCs w:val="29"/>
        </w:rPr>
      </w:pPr>
      <w:r>
        <w:rPr>
          <w:rFonts w:hint="default" w:ascii="黑体" w:hAnsi="黑体" w:eastAsia="黑体" w:cs="黑体"/>
          <w:bCs/>
          <w:color w:val="000000"/>
          <w:kern w:val="0"/>
          <w:szCs w:val="29"/>
        </w:rPr>
        <w:t>第十一条</w:t>
      </w:r>
      <w:r>
        <w:rPr>
          <w:rFonts w:hint="default" w:ascii="Times New Roman" w:hAnsi="Times New Roman" w:eastAsia="方正仿宋_GBK" w:cs="Times New Roman"/>
          <w:bCs/>
          <w:color w:val="000000"/>
          <w:kern w:val="0"/>
          <w:szCs w:val="29"/>
        </w:rPr>
        <w:t xml:space="preserve"> </w:t>
      </w:r>
      <w:r>
        <w:rPr>
          <w:rFonts w:hint="default" w:ascii="Times New Roman" w:hAnsi="Times New Roman" w:eastAsia="方正仿宋_GBK" w:cs="Times New Roman"/>
          <w:color w:val="000000"/>
          <w:kern w:val="0"/>
          <w:szCs w:val="29"/>
        </w:rPr>
        <w:t>对新建城镇燃气配气管网，可运用建设项目财务评价的原理，使燃气企业在整个经营期内取得合理回报的方法核定试行配气价格。核定价格时，全投资税后内部收益率不超过7%，经营期不低于30年。达到可行性研究报告设计的达产期后，调整为按照“准许成本加合理收益”原则核定配气价格。</w:t>
      </w:r>
    </w:p>
    <w:p>
      <w:pPr>
        <w:wordWrap w:val="0"/>
        <w:snapToGrid w:val="0"/>
        <w:spacing w:line="600" w:lineRule="atLeast"/>
        <w:ind w:firstLine="640"/>
        <w:rPr>
          <w:rFonts w:hint="default" w:ascii="Times New Roman" w:hAnsi="Times New Roman" w:eastAsia="方正仿宋_GBK" w:cs="Times New Roman"/>
          <w:color w:val="000000"/>
          <w:kern w:val="0"/>
          <w:szCs w:val="29"/>
        </w:rPr>
      </w:pPr>
      <w:r>
        <w:rPr>
          <w:rFonts w:hint="default" w:ascii="Times New Roman" w:hAnsi="Times New Roman" w:eastAsia="方正仿宋_GBK" w:cs="Times New Roman"/>
          <w:color w:val="000000"/>
          <w:kern w:val="0"/>
          <w:szCs w:val="29"/>
        </w:rPr>
        <w:t>定价成本参数原则上按可行性研究报告确定，可行性研究报告相关参数与国家和省有关规定不符的，按国家和省有关规定执行。</w:t>
      </w:r>
    </w:p>
    <w:p>
      <w:pPr>
        <w:wordWrap w:val="0"/>
        <w:snapToGrid w:val="0"/>
        <w:spacing w:line="600" w:lineRule="atLeast"/>
        <w:ind w:firstLine="640"/>
        <w:rPr>
          <w:rFonts w:hint="default" w:ascii="Times New Roman" w:hAnsi="Times New Roman" w:eastAsia="方正仿宋_GBK" w:cs="Times New Roman"/>
          <w:color w:val="000000"/>
          <w:kern w:val="0"/>
          <w:szCs w:val="29"/>
        </w:rPr>
      </w:pPr>
      <w:r>
        <w:rPr>
          <w:rFonts w:hint="default" w:ascii="黑体" w:hAnsi="黑体" w:eastAsia="黑体" w:cs="黑体"/>
          <w:bCs/>
          <w:color w:val="000000"/>
          <w:kern w:val="0"/>
          <w:szCs w:val="29"/>
        </w:rPr>
        <w:t>第十二条</w:t>
      </w:r>
      <w:r>
        <w:rPr>
          <w:rFonts w:hint="default" w:ascii="Times New Roman" w:hAnsi="Times New Roman" w:eastAsia="方正仿宋_GBK" w:cs="Times New Roman"/>
          <w:bCs/>
          <w:color w:val="000000"/>
          <w:kern w:val="0"/>
          <w:szCs w:val="29"/>
        </w:rPr>
        <w:t xml:space="preserve"> </w:t>
      </w:r>
      <w:r>
        <w:rPr>
          <w:rFonts w:hint="default" w:ascii="Times New Roman" w:hAnsi="Times New Roman" w:eastAsia="方正仿宋_GBK" w:cs="Times New Roman"/>
          <w:color w:val="000000"/>
          <w:kern w:val="0"/>
          <w:szCs w:val="29"/>
        </w:rPr>
        <w:t>配气价格原则上每3年校核调整一次。如管网投资、调压储配站供气设施投资、配送气量、成本等发生重大变化，可以提前校核调整。</w:t>
      </w:r>
    </w:p>
    <w:p>
      <w:pPr>
        <w:wordWrap w:val="0"/>
        <w:snapToGrid w:val="0"/>
        <w:spacing w:line="600" w:lineRule="atLeast"/>
        <w:ind w:firstLine="640"/>
        <w:rPr>
          <w:rFonts w:hint="default" w:ascii="Times New Roman" w:hAnsi="Times New Roman" w:eastAsia="方正仿宋_GBK" w:cs="Times New Roman"/>
          <w:color w:val="000000"/>
          <w:kern w:val="0"/>
          <w:szCs w:val="18"/>
        </w:rPr>
      </w:pPr>
      <w:r>
        <w:rPr>
          <w:rFonts w:hint="default" w:ascii="黑体" w:hAnsi="黑体" w:eastAsia="黑体" w:cs="黑体"/>
          <w:bCs/>
          <w:color w:val="000000"/>
          <w:kern w:val="0"/>
          <w:szCs w:val="29"/>
        </w:rPr>
        <w:t>第十三条</w:t>
      </w:r>
      <w:r>
        <w:rPr>
          <w:rFonts w:hint="default" w:ascii="Times New Roman" w:hAnsi="Times New Roman" w:eastAsia="方正仿宋_GBK" w:cs="Times New Roman"/>
          <w:bCs/>
          <w:color w:val="000000"/>
          <w:kern w:val="0"/>
          <w:szCs w:val="29"/>
        </w:rPr>
        <w:t xml:space="preserve"> </w:t>
      </w:r>
      <w:r>
        <w:rPr>
          <w:rFonts w:hint="default" w:ascii="Times New Roman" w:hAnsi="Times New Roman" w:eastAsia="方正仿宋_GBK" w:cs="Times New Roman"/>
          <w:color w:val="000000"/>
          <w:kern w:val="0"/>
          <w:szCs w:val="29"/>
        </w:rPr>
        <w:t>配气价格校核调整过程中，如测算的配气价格调整幅度过大时，价格主管部门可以根据燃气企业实际运行情况和用户承受能力等因素，设置一定过渡期，逐步调整到位，避免价格大幅波动。对应调未调产生的收入差额，可分摊到未来校核周期进行补偿或扣减。</w:t>
      </w:r>
    </w:p>
    <w:p>
      <w:pPr>
        <w:wordWrap w:val="0"/>
        <w:snapToGrid w:val="0"/>
        <w:spacing w:line="600" w:lineRule="atLeast"/>
        <w:ind w:firstLine="640"/>
        <w:rPr>
          <w:rFonts w:hint="default" w:ascii="Times New Roman" w:hAnsi="Times New Roman" w:eastAsia="方正仿宋_GBK" w:cs="Times New Roman"/>
          <w:kern w:val="0"/>
          <w:sz w:val="24"/>
          <w:szCs w:val="32"/>
        </w:rPr>
      </w:pPr>
      <w:r>
        <w:rPr>
          <w:rFonts w:hint="default" w:ascii="黑体" w:hAnsi="黑体" w:eastAsia="黑体" w:cs="黑体"/>
          <w:bCs/>
          <w:color w:val="000000"/>
          <w:kern w:val="0"/>
          <w:szCs w:val="29"/>
        </w:rPr>
        <w:t>第十四条</w:t>
      </w:r>
      <w:r>
        <w:rPr>
          <w:rFonts w:hint="default" w:ascii="Times New Roman" w:hAnsi="Times New Roman" w:eastAsia="方正仿宋_GBK" w:cs="Times New Roman"/>
          <w:bCs/>
          <w:color w:val="000000"/>
          <w:kern w:val="0"/>
          <w:szCs w:val="29"/>
        </w:rPr>
        <w:t xml:space="preserve"> </w:t>
      </w:r>
      <w:r>
        <w:rPr>
          <w:rFonts w:hint="default" w:ascii="Times New Roman" w:hAnsi="Times New Roman" w:eastAsia="方正仿宋_GBK" w:cs="Times New Roman"/>
          <w:color w:val="000000"/>
          <w:kern w:val="0"/>
          <w:szCs w:val="29"/>
        </w:rPr>
        <w:t>配气价格的制定和调整，由价格主管部门依职权实施，燃气企业可以向价格主管部门提出定调价建议。新成立燃气企业正式运营前，应当向价格主管部门提出定价的建议。</w:t>
      </w:r>
    </w:p>
    <w:p>
      <w:pPr>
        <w:wordWrap w:val="0"/>
        <w:snapToGrid w:val="0"/>
        <w:spacing w:line="600" w:lineRule="atLeast"/>
        <w:ind w:firstLine="640"/>
        <w:rPr>
          <w:rFonts w:hint="default" w:ascii="Times New Roman" w:hAnsi="Times New Roman" w:eastAsia="方正仿宋_GBK" w:cs="Times New Roman"/>
          <w:color w:val="000000"/>
          <w:kern w:val="0"/>
          <w:szCs w:val="29"/>
        </w:rPr>
      </w:pPr>
      <w:r>
        <w:rPr>
          <w:rFonts w:hint="default" w:ascii="黑体" w:hAnsi="黑体" w:eastAsia="黑体" w:cs="黑体"/>
          <w:bCs/>
          <w:color w:val="000000"/>
          <w:kern w:val="0"/>
          <w:szCs w:val="29"/>
        </w:rPr>
        <w:t>第十五条</w:t>
      </w:r>
      <w:r>
        <w:rPr>
          <w:rFonts w:hint="default" w:ascii="Times New Roman" w:hAnsi="Times New Roman" w:eastAsia="方正仿宋_GBK" w:cs="Times New Roman"/>
          <w:bCs/>
          <w:color w:val="000000"/>
          <w:kern w:val="0"/>
          <w:szCs w:val="29"/>
        </w:rPr>
        <w:t xml:space="preserve"> </w:t>
      </w:r>
      <w:r>
        <w:rPr>
          <w:rFonts w:hint="default" w:ascii="Times New Roman" w:hAnsi="Times New Roman" w:eastAsia="方正仿宋_GBK" w:cs="Times New Roman"/>
          <w:color w:val="000000"/>
          <w:kern w:val="0"/>
          <w:szCs w:val="29"/>
        </w:rPr>
        <w:t>制定和调整配气价格，应当开展成本监审，</w:t>
      </w:r>
      <w:r>
        <w:rPr>
          <w:rFonts w:hint="default" w:ascii="Times New Roman" w:hAnsi="Times New Roman" w:eastAsia="方正仿宋_GBK" w:cs="Times New Roman"/>
          <w:color w:val="000000"/>
          <w:kern w:val="0"/>
          <w:szCs w:val="32"/>
        </w:rPr>
        <w:t>没有正式营业或营业不满一个会计年度的除外。</w:t>
      </w:r>
      <w:r>
        <w:rPr>
          <w:rFonts w:hint="default" w:ascii="Times New Roman" w:hAnsi="Times New Roman" w:eastAsia="方正仿宋_GBK" w:cs="Times New Roman"/>
          <w:color w:val="000000"/>
          <w:kern w:val="0"/>
          <w:szCs w:val="29"/>
        </w:rPr>
        <w:t>成本监审核定的定价成本，作为制定和调整配气价格的基本依据。</w:t>
      </w:r>
    </w:p>
    <w:p>
      <w:pPr>
        <w:wordWrap w:val="0"/>
        <w:snapToGrid w:val="0"/>
        <w:spacing w:line="600" w:lineRule="atLeast"/>
        <w:ind w:firstLine="640"/>
        <w:rPr>
          <w:rFonts w:hint="default" w:ascii="Times New Roman" w:hAnsi="Times New Roman" w:eastAsia="方正仿宋_GBK" w:cs="Times New Roman"/>
          <w:color w:val="000000"/>
          <w:kern w:val="0"/>
          <w:szCs w:val="29"/>
        </w:rPr>
      </w:pPr>
      <w:r>
        <w:rPr>
          <w:rFonts w:hint="default" w:ascii="Times New Roman" w:hAnsi="Times New Roman" w:eastAsia="方正仿宋_GBK" w:cs="Times New Roman"/>
          <w:color w:val="000000"/>
          <w:kern w:val="0"/>
          <w:szCs w:val="29"/>
        </w:rPr>
        <w:t>制定和调整居民配气价格应当依法履行听证程序。</w:t>
      </w:r>
    </w:p>
    <w:p>
      <w:pPr>
        <w:wordWrap w:val="0"/>
        <w:snapToGrid w:val="0"/>
        <w:spacing w:line="600" w:lineRule="atLeast"/>
        <w:ind w:firstLine="640"/>
        <w:rPr>
          <w:rFonts w:hint="default" w:ascii="Times New Roman" w:hAnsi="Times New Roman" w:eastAsia="方正仿宋_GBK" w:cs="Times New Roman"/>
          <w:kern w:val="0"/>
          <w:sz w:val="24"/>
          <w:szCs w:val="18"/>
        </w:rPr>
      </w:pPr>
      <w:r>
        <w:rPr>
          <w:rFonts w:hint="default" w:ascii="黑体" w:hAnsi="黑体" w:eastAsia="黑体" w:cs="黑体"/>
          <w:bCs/>
          <w:color w:val="000000"/>
          <w:kern w:val="0"/>
          <w:szCs w:val="29"/>
        </w:rPr>
        <w:t>第十六条</w:t>
      </w:r>
      <w:r>
        <w:rPr>
          <w:rFonts w:hint="default" w:ascii="Times New Roman" w:hAnsi="Times New Roman" w:eastAsia="方正仿宋_GBK" w:cs="Times New Roman"/>
          <w:bCs/>
          <w:color w:val="000000"/>
          <w:kern w:val="0"/>
          <w:szCs w:val="29"/>
        </w:rPr>
        <w:t xml:space="preserve"> </w:t>
      </w:r>
      <w:r>
        <w:rPr>
          <w:rFonts w:hint="default" w:ascii="Times New Roman" w:hAnsi="Times New Roman" w:eastAsia="方正仿宋_GBK" w:cs="Times New Roman"/>
          <w:color w:val="000000"/>
          <w:kern w:val="0"/>
          <w:szCs w:val="29"/>
        </w:rPr>
        <w:t>燃气企业应当按照价格主管部门的规定，按时提供制定和调整配气价格所需的投资、收入、成本等信息，并对提供资料的合法性、真实性负责。对故意瞒报、虚报信息的行为，价格主管部门责令限期改正，依法依规</w:t>
      </w:r>
      <w:r>
        <w:rPr>
          <w:rFonts w:hint="default" w:ascii="Times New Roman" w:hAnsi="Times New Roman" w:eastAsia="方正仿宋_GBK" w:cs="Times New Roman"/>
          <w:color w:val="000000"/>
          <w:kern w:val="0"/>
          <w:szCs w:val="32"/>
        </w:rPr>
        <w:t>纳入失信信息记录，</w:t>
      </w:r>
      <w:r>
        <w:rPr>
          <w:rFonts w:hint="default" w:ascii="Times New Roman" w:hAnsi="Times New Roman" w:eastAsia="方正仿宋_GBK" w:cs="Times New Roman"/>
          <w:color w:val="000000"/>
          <w:kern w:val="0"/>
          <w:szCs w:val="29"/>
        </w:rPr>
        <w:t>并</w:t>
      </w:r>
      <w:r>
        <w:rPr>
          <w:rFonts w:hint="default" w:ascii="Times New Roman" w:hAnsi="Times New Roman" w:eastAsia="方正仿宋_GBK" w:cs="Times New Roman"/>
          <w:color w:val="000000"/>
          <w:kern w:val="0"/>
          <w:szCs w:val="32"/>
        </w:rPr>
        <w:t>视情采取降低准许收益率等措施</w:t>
      </w:r>
      <w:r>
        <w:rPr>
          <w:rFonts w:hint="default" w:ascii="Times New Roman" w:hAnsi="Times New Roman" w:eastAsia="方正仿宋_GBK" w:cs="Times New Roman"/>
          <w:bCs/>
          <w:color w:val="000000"/>
          <w:kern w:val="0"/>
          <w:szCs w:val="32"/>
        </w:rPr>
        <w:t>。</w:t>
      </w:r>
      <w:r>
        <w:rPr>
          <w:rFonts w:hint="default" w:ascii="Times New Roman" w:hAnsi="Times New Roman" w:eastAsia="方正仿宋_GBK" w:cs="Times New Roman"/>
          <w:color w:val="000000"/>
          <w:kern w:val="0"/>
          <w:szCs w:val="29"/>
        </w:rPr>
        <w:t>故意瞒报、虚报相关信息并获得不当收益的，在下一次价格校核时进行追溯。</w:t>
      </w:r>
    </w:p>
    <w:p>
      <w:pPr>
        <w:wordWrap w:val="0"/>
        <w:snapToGrid w:val="0"/>
        <w:spacing w:line="600" w:lineRule="atLeast"/>
        <w:ind w:firstLine="640"/>
        <w:rPr>
          <w:rFonts w:hint="default" w:ascii="Times New Roman" w:hAnsi="Times New Roman" w:eastAsia="方正仿宋_GBK" w:cs="Times New Roman"/>
          <w:color w:val="000000"/>
          <w:kern w:val="0"/>
          <w:szCs w:val="29"/>
        </w:rPr>
      </w:pPr>
      <w:r>
        <w:rPr>
          <w:rFonts w:hint="default" w:ascii="黑体" w:hAnsi="黑体" w:eastAsia="黑体" w:cs="黑体"/>
          <w:bCs/>
          <w:color w:val="000000"/>
          <w:kern w:val="0"/>
          <w:szCs w:val="29"/>
        </w:rPr>
        <w:t>第十七条</w:t>
      </w:r>
      <w:r>
        <w:rPr>
          <w:rFonts w:hint="default" w:ascii="Times New Roman" w:hAnsi="Times New Roman" w:eastAsia="方正仿宋_GBK" w:cs="Times New Roman"/>
          <w:bCs/>
          <w:color w:val="000000"/>
          <w:kern w:val="0"/>
          <w:szCs w:val="29"/>
        </w:rPr>
        <w:t xml:space="preserve"> </w:t>
      </w:r>
      <w:r>
        <w:rPr>
          <w:rFonts w:hint="default" w:ascii="Times New Roman" w:hAnsi="Times New Roman" w:eastAsia="方正仿宋_GBK" w:cs="Times New Roman"/>
          <w:color w:val="000000"/>
          <w:kern w:val="0"/>
          <w:szCs w:val="29"/>
        </w:rPr>
        <w:t>价格主管部门制定和调整配气价格，应当通过门户网站等指定平台向社会公开价格水平等相关信息。</w:t>
      </w:r>
    </w:p>
    <w:p>
      <w:pPr>
        <w:wordWrap w:val="0"/>
        <w:snapToGrid w:val="0"/>
        <w:spacing w:line="600" w:lineRule="atLeast"/>
        <w:ind w:firstLine="640"/>
        <w:rPr>
          <w:rFonts w:hint="default" w:ascii="Times New Roman" w:hAnsi="Times New Roman" w:eastAsia="方正仿宋_GBK" w:cs="Times New Roman"/>
          <w:color w:val="000000"/>
          <w:kern w:val="0"/>
          <w:szCs w:val="29"/>
        </w:rPr>
      </w:pPr>
      <w:r>
        <w:rPr>
          <w:rFonts w:hint="default" w:ascii="Times New Roman" w:hAnsi="Times New Roman" w:eastAsia="方正仿宋_GBK" w:cs="Times New Roman"/>
          <w:color w:val="000000"/>
          <w:kern w:val="0"/>
          <w:szCs w:val="29"/>
        </w:rPr>
        <w:t>燃气企业应当按规定做好明码标价并规范收费，通过企业门户网站等指定平台公布配气业务收入、成本、具体执行价格等相关信息。</w:t>
      </w:r>
    </w:p>
    <w:p>
      <w:pPr>
        <w:wordWrap w:val="0"/>
        <w:snapToGrid w:val="0"/>
        <w:spacing w:line="600" w:lineRule="atLeast"/>
        <w:ind w:firstLine="632" w:firstLineChars="200"/>
        <w:rPr>
          <w:rFonts w:hint="default" w:ascii="Times New Roman" w:hAnsi="Times New Roman" w:eastAsia="方正仿宋_GBK" w:cs="Times New Roman"/>
          <w:kern w:val="0"/>
          <w:sz w:val="24"/>
          <w:szCs w:val="32"/>
        </w:rPr>
      </w:pPr>
      <w:r>
        <w:rPr>
          <w:rFonts w:hint="default" w:ascii="黑体" w:hAnsi="黑体" w:eastAsia="黑体" w:cs="黑体"/>
          <w:bCs/>
          <w:color w:val="000000"/>
          <w:kern w:val="0"/>
          <w:szCs w:val="29"/>
        </w:rPr>
        <w:t>第十八条</w:t>
      </w:r>
      <w:r>
        <w:rPr>
          <w:rFonts w:hint="default" w:ascii="Times New Roman" w:hAnsi="Times New Roman" w:eastAsia="方正仿宋_GBK" w:cs="Times New Roman"/>
          <w:color w:val="000000"/>
          <w:kern w:val="0"/>
          <w:szCs w:val="29"/>
        </w:rPr>
        <w:t xml:space="preserve">  燃气企业之间的转供和为第三方提供代输服务的价格，由双方协商确定。</w:t>
      </w:r>
    </w:p>
    <w:p>
      <w:pPr>
        <w:wordWrap w:val="0"/>
        <w:snapToGrid w:val="0"/>
        <w:spacing w:line="600" w:lineRule="atLeast"/>
        <w:ind w:firstLine="632" w:firstLineChars="200"/>
        <w:rPr>
          <w:rFonts w:hint="default" w:ascii="Times New Roman" w:hAnsi="Times New Roman" w:eastAsia="方正仿宋_GBK" w:cs="Times New Roman"/>
          <w:kern w:val="0"/>
          <w:szCs w:val="18"/>
        </w:rPr>
      </w:pPr>
      <w:r>
        <w:rPr>
          <w:rFonts w:hint="default" w:ascii="黑体" w:hAnsi="黑体" w:eastAsia="黑体" w:cs="黑体"/>
          <w:bCs/>
          <w:color w:val="000000"/>
          <w:kern w:val="0"/>
          <w:szCs w:val="29"/>
        </w:rPr>
        <w:t>第十九条</w:t>
      </w:r>
      <w:r>
        <w:rPr>
          <w:rFonts w:hint="default" w:ascii="Times New Roman" w:hAnsi="Times New Roman" w:eastAsia="方正仿宋_GBK" w:cs="Times New Roman"/>
          <w:bCs/>
          <w:color w:val="000000"/>
          <w:kern w:val="0"/>
          <w:szCs w:val="29"/>
        </w:rPr>
        <w:t xml:space="preserve"> </w:t>
      </w:r>
      <w:r>
        <w:rPr>
          <w:rFonts w:hint="default" w:ascii="Times New Roman" w:hAnsi="Times New Roman" w:eastAsia="方正仿宋_GBK" w:cs="Times New Roman"/>
          <w:color w:val="000000"/>
          <w:kern w:val="0"/>
          <w:szCs w:val="29"/>
        </w:rPr>
        <w:t>本办法由江苏省发展改革委负责解释。</w:t>
      </w:r>
    </w:p>
    <w:p>
      <w:pPr>
        <w:snapToGrid w:val="0"/>
        <w:spacing w:line="600" w:lineRule="atLeast"/>
        <w:ind w:firstLine="641"/>
        <w:rPr>
          <w:rFonts w:hint="default" w:ascii="Times New Roman" w:hAnsi="Times New Roman" w:eastAsia="方正仿宋_GBK" w:cs="Times New Roman"/>
          <w:color w:val="000000"/>
          <w:kern w:val="0"/>
          <w:szCs w:val="18"/>
        </w:rPr>
      </w:pPr>
      <w:bookmarkStart w:id="0" w:name="_GoBack"/>
      <w:r>
        <w:rPr>
          <w:rFonts w:hint="default" w:ascii="黑体" w:hAnsi="黑体" w:eastAsia="黑体" w:cs="黑体"/>
          <w:bCs/>
          <w:color w:val="000000"/>
          <w:kern w:val="0"/>
          <w:szCs w:val="29"/>
        </w:rPr>
        <w:t>第二十条</w:t>
      </w:r>
      <w:bookmarkEnd w:id="0"/>
      <w:r>
        <w:rPr>
          <w:rFonts w:hint="default" w:ascii="Times New Roman" w:hAnsi="Times New Roman" w:eastAsia="方正仿宋_GBK" w:cs="Times New Roman"/>
          <w:bCs/>
          <w:color w:val="000000"/>
          <w:kern w:val="0"/>
          <w:szCs w:val="29"/>
        </w:rPr>
        <w:t xml:space="preserve"> </w:t>
      </w:r>
      <w:r>
        <w:rPr>
          <w:rFonts w:hint="default" w:ascii="Times New Roman" w:hAnsi="Times New Roman" w:eastAsia="方正仿宋_GBK" w:cs="Times New Roman"/>
          <w:color w:val="000000"/>
          <w:kern w:val="0"/>
          <w:szCs w:val="29"/>
        </w:rPr>
        <w:t>本办法自2025年7月1日起施行，有效期至2030年6月30日止。施行期间，若国家出台新的政策，按国家规定执行。</w:t>
      </w:r>
    </w:p>
    <w:p/>
    <w:sectPr>
      <w:footerReference r:id="rId3" w:type="default"/>
      <w:pgSz w:w="11906" w:h="16838"/>
      <w:pgMar w:top="1985" w:right="1474" w:bottom="1701" w:left="1588" w:header="851" w:footer="992" w:gutter="0"/>
      <w:cols w:space="425" w:num="1"/>
      <w:docGrid w:type="linesAndChars" w:linePitch="597"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方正仿宋_GBK">
    <w:panose1 w:val="02000000000000000000"/>
    <w:charset w:val="86"/>
    <w:family w:val="auto"/>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Arial">
    <w:altName w:val="Times New Roman"/>
    <w:panose1 w:val="020B0604020202020204"/>
    <w:charset w:val="00"/>
    <w:family w:val="swiss"/>
    <w:pitch w:val="default"/>
    <w:sig w:usb0="00000000" w:usb1="00000000" w:usb2="00000009" w:usb3="00000000" w:csb0="000001FF" w:csb1="00000000"/>
  </w:font>
  <w:font w:name="仿宋">
    <w:altName w:val="微软雅黑"/>
    <w:panose1 w:val="02010609060101010101"/>
    <w:charset w:val="86"/>
    <w:family w:val="modern"/>
    <w:pitch w:val="default"/>
    <w:sig w:usb0="00000000" w:usb1="00000000" w:usb2="00000016" w:usb3="00000000" w:csb0="00040001" w:csb1="00000000"/>
  </w:font>
  <w:font w:name="汉鼎简大宋">
    <w:panose1 w:val="02010609010101010101"/>
    <w:charset w:val="86"/>
    <w:family w:val="auto"/>
    <w:pitch w:val="default"/>
    <w:sig w:usb0="00000283" w:usb1="180F0C10" w:usb2="00000012" w:usb3="00000000" w:csb0="0004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14859845"/>
      <w:docPartObj>
        <w:docPartGallery w:val="AutoText"/>
      </w:docPartObj>
    </w:sdtPr>
    <w:sdtContent>
      <w:p>
        <w:pPr>
          <w:pStyle w:val="3"/>
          <w:jc w:val="center"/>
        </w:pPr>
        <w:r>
          <w:fldChar w:fldCharType="begin"/>
        </w:r>
        <w:r>
          <w:instrText xml:space="preserve">PAGE   \* MERGEFORMAT</w:instrText>
        </w:r>
        <w:r>
          <w:fldChar w:fldCharType="separate"/>
        </w:r>
        <w:r>
          <w:rPr>
            <w:lang w:val="zh-CN"/>
          </w:rPr>
          <w:t>3</w:t>
        </w:r>
        <w: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1"/>
  <w:bordersDoNotSurroundFooter w:val="1"/>
  <w:documentProtection w:enforcement="0"/>
  <w:defaultTabStop w:val="420"/>
  <w:drawingGridHorizontalSpacing w:val="158"/>
  <w:drawingGridVerticalSpacing w:val="597"/>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0B23"/>
    <w:rsid w:val="00005100"/>
    <w:rsid w:val="00014757"/>
    <w:rsid w:val="00031EFB"/>
    <w:rsid w:val="00047759"/>
    <w:rsid w:val="00067E8F"/>
    <w:rsid w:val="00076940"/>
    <w:rsid w:val="00084D1B"/>
    <w:rsid w:val="000A2634"/>
    <w:rsid w:val="000A2692"/>
    <w:rsid w:val="000B0214"/>
    <w:rsid w:val="000C2BCA"/>
    <w:rsid w:val="000C4773"/>
    <w:rsid w:val="000C4865"/>
    <w:rsid w:val="000D1B29"/>
    <w:rsid w:val="00105E5F"/>
    <w:rsid w:val="001106DF"/>
    <w:rsid w:val="001612A6"/>
    <w:rsid w:val="00170B23"/>
    <w:rsid w:val="0019792E"/>
    <w:rsid w:val="001A69B7"/>
    <w:rsid w:val="001C27A7"/>
    <w:rsid w:val="001E02F3"/>
    <w:rsid w:val="001F0C26"/>
    <w:rsid w:val="001F19B1"/>
    <w:rsid w:val="00205829"/>
    <w:rsid w:val="00222E6C"/>
    <w:rsid w:val="00230796"/>
    <w:rsid w:val="0024131A"/>
    <w:rsid w:val="00244CC8"/>
    <w:rsid w:val="0025017D"/>
    <w:rsid w:val="002543A6"/>
    <w:rsid w:val="00260B73"/>
    <w:rsid w:val="002702F8"/>
    <w:rsid w:val="0027087E"/>
    <w:rsid w:val="00274301"/>
    <w:rsid w:val="00284B46"/>
    <w:rsid w:val="002B394E"/>
    <w:rsid w:val="002C079C"/>
    <w:rsid w:val="002C631D"/>
    <w:rsid w:val="002D0AE1"/>
    <w:rsid w:val="002D69E3"/>
    <w:rsid w:val="002D6DA8"/>
    <w:rsid w:val="002E14AF"/>
    <w:rsid w:val="003000A9"/>
    <w:rsid w:val="00326EA5"/>
    <w:rsid w:val="00350517"/>
    <w:rsid w:val="00354207"/>
    <w:rsid w:val="003559E0"/>
    <w:rsid w:val="003627E1"/>
    <w:rsid w:val="003716AD"/>
    <w:rsid w:val="00372C82"/>
    <w:rsid w:val="0037364B"/>
    <w:rsid w:val="003823E8"/>
    <w:rsid w:val="0038348F"/>
    <w:rsid w:val="00396898"/>
    <w:rsid w:val="00396BE2"/>
    <w:rsid w:val="00397539"/>
    <w:rsid w:val="003A2031"/>
    <w:rsid w:val="003C333A"/>
    <w:rsid w:val="003F2635"/>
    <w:rsid w:val="003F7FEB"/>
    <w:rsid w:val="0040645B"/>
    <w:rsid w:val="00417974"/>
    <w:rsid w:val="00430C36"/>
    <w:rsid w:val="00445778"/>
    <w:rsid w:val="00483FEC"/>
    <w:rsid w:val="00484B7C"/>
    <w:rsid w:val="004856C0"/>
    <w:rsid w:val="004A18C0"/>
    <w:rsid w:val="004A687C"/>
    <w:rsid w:val="004B7136"/>
    <w:rsid w:val="004B7925"/>
    <w:rsid w:val="004C3357"/>
    <w:rsid w:val="004C5CD0"/>
    <w:rsid w:val="004D357E"/>
    <w:rsid w:val="004D741C"/>
    <w:rsid w:val="004E6C83"/>
    <w:rsid w:val="00512E53"/>
    <w:rsid w:val="0052783E"/>
    <w:rsid w:val="00527AAC"/>
    <w:rsid w:val="00531F80"/>
    <w:rsid w:val="00532CD8"/>
    <w:rsid w:val="005378AB"/>
    <w:rsid w:val="00542262"/>
    <w:rsid w:val="00545D4C"/>
    <w:rsid w:val="00552683"/>
    <w:rsid w:val="00555529"/>
    <w:rsid w:val="0057437F"/>
    <w:rsid w:val="00574E8F"/>
    <w:rsid w:val="005A1ACC"/>
    <w:rsid w:val="005B03FE"/>
    <w:rsid w:val="005C5F4B"/>
    <w:rsid w:val="005C62B2"/>
    <w:rsid w:val="005D4077"/>
    <w:rsid w:val="005E2DBA"/>
    <w:rsid w:val="005E634A"/>
    <w:rsid w:val="005F05CE"/>
    <w:rsid w:val="00610829"/>
    <w:rsid w:val="00611900"/>
    <w:rsid w:val="0062488A"/>
    <w:rsid w:val="006271E4"/>
    <w:rsid w:val="0063430F"/>
    <w:rsid w:val="00662576"/>
    <w:rsid w:val="00665993"/>
    <w:rsid w:val="00674719"/>
    <w:rsid w:val="00692A5B"/>
    <w:rsid w:val="00695CE1"/>
    <w:rsid w:val="006A0453"/>
    <w:rsid w:val="006A42CC"/>
    <w:rsid w:val="006A614A"/>
    <w:rsid w:val="006B0B4D"/>
    <w:rsid w:val="006B28EB"/>
    <w:rsid w:val="006D44F7"/>
    <w:rsid w:val="006E0FD1"/>
    <w:rsid w:val="006F1678"/>
    <w:rsid w:val="00701199"/>
    <w:rsid w:val="00707C38"/>
    <w:rsid w:val="007215D9"/>
    <w:rsid w:val="00724DB9"/>
    <w:rsid w:val="0074221B"/>
    <w:rsid w:val="0075119C"/>
    <w:rsid w:val="00756F57"/>
    <w:rsid w:val="00757B9F"/>
    <w:rsid w:val="007609A6"/>
    <w:rsid w:val="00763D21"/>
    <w:rsid w:val="00781014"/>
    <w:rsid w:val="0078224E"/>
    <w:rsid w:val="00783196"/>
    <w:rsid w:val="007A0F0C"/>
    <w:rsid w:val="007B503B"/>
    <w:rsid w:val="007C2020"/>
    <w:rsid w:val="007D1EC0"/>
    <w:rsid w:val="007E1872"/>
    <w:rsid w:val="007E638C"/>
    <w:rsid w:val="0080705A"/>
    <w:rsid w:val="008151D6"/>
    <w:rsid w:val="00823F98"/>
    <w:rsid w:val="00837119"/>
    <w:rsid w:val="008424F3"/>
    <w:rsid w:val="0085548E"/>
    <w:rsid w:val="0086745E"/>
    <w:rsid w:val="00872D6E"/>
    <w:rsid w:val="0089383C"/>
    <w:rsid w:val="00894A14"/>
    <w:rsid w:val="008A17CE"/>
    <w:rsid w:val="008A5884"/>
    <w:rsid w:val="008B16E1"/>
    <w:rsid w:val="008C161E"/>
    <w:rsid w:val="008C34BC"/>
    <w:rsid w:val="008C51FA"/>
    <w:rsid w:val="00902850"/>
    <w:rsid w:val="0090747C"/>
    <w:rsid w:val="009131C4"/>
    <w:rsid w:val="0092038A"/>
    <w:rsid w:val="0093449A"/>
    <w:rsid w:val="00951029"/>
    <w:rsid w:val="00957BC8"/>
    <w:rsid w:val="0096222C"/>
    <w:rsid w:val="00967928"/>
    <w:rsid w:val="009B13A0"/>
    <w:rsid w:val="009B167A"/>
    <w:rsid w:val="009D160E"/>
    <w:rsid w:val="009D5A3C"/>
    <w:rsid w:val="009E1579"/>
    <w:rsid w:val="009E6650"/>
    <w:rsid w:val="00A00BCB"/>
    <w:rsid w:val="00A04A82"/>
    <w:rsid w:val="00A04BD7"/>
    <w:rsid w:val="00A059DD"/>
    <w:rsid w:val="00A118B2"/>
    <w:rsid w:val="00A22404"/>
    <w:rsid w:val="00A3028F"/>
    <w:rsid w:val="00A32E62"/>
    <w:rsid w:val="00A52270"/>
    <w:rsid w:val="00A875DA"/>
    <w:rsid w:val="00AB0F20"/>
    <w:rsid w:val="00AB27B0"/>
    <w:rsid w:val="00AD5040"/>
    <w:rsid w:val="00AE0F5E"/>
    <w:rsid w:val="00AF73F9"/>
    <w:rsid w:val="00B01C09"/>
    <w:rsid w:val="00B02B85"/>
    <w:rsid w:val="00B14559"/>
    <w:rsid w:val="00B26EE6"/>
    <w:rsid w:val="00B42EE5"/>
    <w:rsid w:val="00B4322A"/>
    <w:rsid w:val="00B4563A"/>
    <w:rsid w:val="00B66051"/>
    <w:rsid w:val="00BA1A8B"/>
    <w:rsid w:val="00BB633C"/>
    <w:rsid w:val="00BD425D"/>
    <w:rsid w:val="00BD44F8"/>
    <w:rsid w:val="00BE7065"/>
    <w:rsid w:val="00BF5735"/>
    <w:rsid w:val="00C04314"/>
    <w:rsid w:val="00C05F7B"/>
    <w:rsid w:val="00C12853"/>
    <w:rsid w:val="00C14462"/>
    <w:rsid w:val="00C16AB9"/>
    <w:rsid w:val="00C17665"/>
    <w:rsid w:val="00C321EC"/>
    <w:rsid w:val="00C35D8F"/>
    <w:rsid w:val="00C70743"/>
    <w:rsid w:val="00C778C8"/>
    <w:rsid w:val="00CA6317"/>
    <w:rsid w:val="00CA7B97"/>
    <w:rsid w:val="00CB3F8B"/>
    <w:rsid w:val="00CE4940"/>
    <w:rsid w:val="00CF46C3"/>
    <w:rsid w:val="00D0146A"/>
    <w:rsid w:val="00D05EA2"/>
    <w:rsid w:val="00D13624"/>
    <w:rsid w:val="00D41EA2"/>
    <w:rsid w:val="00D440AF"/>
    <w:rsid w:val="00D575D4"/>
    <w:rsid w:val="00DA54FD"/>
    <w:rsid w:val="00DA5F89"/>
    <w:rsid w:val="00DD152B"/>
    <w:rsid w:val="00DD2617"/>
    <w:rsid w:val="00DD2925"/>
    <w:rsid w:val="00DD5759"/>
    <w:rsid w:val="00DE0156"/>
    <w:rsid w:val="00DE6460"/>
    <w:rsid w:val="00DF1489"/>
    <w:rsid w:val="00DF75A5"/>
    <w:rsid w:val="00DF7CF6"/>
    <w:rsid w:val="00E0490D"/>
    <w:rsid w:val="00E32005"/>
    <w:rsid w:val="00E410BD"/>
    <w:rsid w:val="00E4781B"/>
    <w:rsid w:val="00E75125"/>
    <w:rsid w:val="00E85006"/>
    <w:rsid w:val="00E9102F"/>
    <w:rsid w:val="00EA284C"/>
    <w:rsid w:val="00EB4E8B"/>
    <w:rsid w:val="00ED0ADB"/>
    <w:rsid w:val="00EE08F6"/>
    <w:rsid w:val="00EE3985"/>
    <w:rsid w:val="00EF2047"/>
    <w:rsid w:val="00F0221A"/>
    <w:rsid w:val="00F054F4"/>
    <w:rsid w:val="00F05998"/>
    <w:rsid w:val="00F23601"/>
    <w:rsid w:val="00F23C94"/>
    <w:rsid w:val="00F25564"/>
    <w:rsid w:val="00F27124"/>
    <w:rsid w:val="00F53F6A"/>
    <w:rsid w:val="00F72E66"/>
    <w:rsid w:val="00F82D19"/>
    <w:rsid w:val="00F957CA"/>
    <w:rsid w:val="00F95C8A"/>
    <w:rsid w:val="00FC697F"/>
    <w:rsid w:val="00FD5354"/>
    <w:rsid w:val="00FE3E1A"/>
    <w:rsid w:val="00FF2EA1"/>
    <w:rsid w:val="00FF60B0"/>
    <w:rsid w:val="FFF355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仿宋_GB2312"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_GB2312" w:asciiTheme="minorHAnsi" w:hAnsiTheme="minorHAnsi" w:cstheme="minorBidi"/>
      <w:kern w:val="2"/>
      <w:sz w:val="32"/>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semiHidden/>
    <w:unhideWhenUsed/>
    <w:qFormat/>
    <w:uiPriority w:val="99"/>
    <w:rPr>
      <w:sz w:val="18"/>
      <w:szCs w:val="18"/>
    </w:rPr>
  </w:style>
  <w:style w:type="paragraph" w:styleId="3">
    <w:name w:val="footer"/>
    <w:basedOn w:val="1"/>
    <w:link w:val="12"/>
    <w:unhideWhenUsed/>
    <w:qFormat/>
    <w:uiPriority w:val="99"/>
    <w:pPr>
      <w:tabs>
        <w:tab w:val="center" w:pos="4153"/>
        <w:tab w:val="right" w:pos="8306"/>
      </w:tabs>
      <w:snapToGrid w:val="0"/>
      <w:jc w:val="left"/>
    </w:pPr>
    <w:rPr>
      <w:sz w:val="18"/>
      <w:szCs w:val="18"/>
    </w:rPr>
  </w:style>
  <w:style w:type="paragraph" w:styleId="4">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8">
    <w:name w:val="Strong"/>
    <w:basedOn w:val="7"/>
    <w:qFormat/>
    <w:uiPriority w:val="22"/>
    <w:rPr>
      <w:b/>
      <w:bCs/>
    </w:rPr>
  </w:style>
  <w:style w:type="paragraph" w:customStyle="1" w:styleId="9">
    <w:name w:val="normalweb"/>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10">
    <w:name w:val="批注框文本 Char"/>
    <w:basedOn w:val="7"/>
    <w:link w:val="2"/>
    <w:semiHidden/>
    <w:qFormat/>
    <w:uiPriority w:val="99"/>
    <w:rPr>
      <w:sz w:val="18"/>
      <w:szCs w:val="18"/>
    </w:rPr>
  </w:style>
  <w:style w:type="character" w:customStyle="1" w:styleId="11">
    <w:name w:val="页眉 Char"/>
    <w:basedOn w:val="7"/>
    <w:link w:val="4"/>
    <w:qFormat/>
    <w:uiPriority w:val="99"/>
    <w:rPr>
      <w:sz w:val="18"/>
      <w:szCs w:val="18"/>
    </w:rPr>
  </w:style>
  <w:style w:type="character" w:customStyle="1" w:styleId="12">
    <w:name w:val="页脚 Char"/>
    <w:basedOn w:val="7"/>
    <w:link w:val="3"/>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P R C</Company>
  <Pages>5</Pages>
  <Words>348</Words>
  <Characters>1986</Characters>
  <Lines>16</Lines>
  <Paragraphs>4</Paragraphs>
  <TotalTime>36</TotalTime>
  <ScaleCrop>false</ScaleCrop>
  <LinksUpToDate>false</LinksUpToDate>
  <CharactersWithSpaces>2330</CharactersWithSpaces>
  <Application>WPS Office_11.8.2.11764_F1E327BC-269C-435d-A152-05C5408002CA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2025-02-11T16:18:00Z</dcterms:created>
  <dc:creator>admin</dc:creator>
  <cp:lastModifiedBy>uos</cp:lastModifiedBy>
  <cp:lastPrinted>2025-02-11T16:21:00Z</cp:lastPrinted>
  <dcterms:modified xsi:type="dcterms:W3CDTF">2025-02-13T10:41:09Z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2052-11.8.2.11764</vt:lpwstr>
  </property>
  <property fmtid="{D5CDD505-2E9C-101B-9397-08002B2CF9AE}" pid="3" name="ICV">
    <vt:lpwstr>E1470EDE2A7487F0C55BAD67DFA6FC32</vt:lpwstr>
  </property>
</Properties>
</file>