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7" w:lineRule="exact"/>
        <w:jc w:val="left"/>
        <w:textAlignment w:val="auto"/>
        <w:rPr>
          <w:rFonts w:hint="default" w:ascii="Times New Roman" w:hAnsi="Times New Roman" w:eastAsia="方正黑体_GBK" w:cs="Times New Roman"/>
          <w:sz w:val="32"/>
          <w:szCs w:val="40"/>
          <w:lang w:val="en-US" w:eastAsia="zh-CN"/>
        </w:rPr>
      </w:pPr>
      <w:r>
        <w:rPr>
          <w:rFonts w:hint="default" w:ascii="Times New Roman" w:hAnsi="Times New Roman" w:eastAsia="方正黑体_GBK" w:cs="Times New Roman"/>
          <w:sz w:val="32"/>
          <w:szCs w:val="40"/>
          <w:lang w:val="en-US" w:eastAsia="zh-CN"/>
        </w:rPr>
        <w:t>附件：</w:t>
      </w:r>
    </w:p>
    <w:p>
      <w:pPr>
        <w:pStyle w:val="2"/>
        <w:rPr>
          <w:rFonts w:hint="default" w:ascii="Times New Roman" w:hAnsi="Times New Roman" w:eastAsia="方正黑体_GBK" w:cs="Times New Roman"/>
          <w:sz w:val="32"/>
          <w:szCs w:val="40"/>
          <w:lang w:val="en-US" w:eastAsia="zh-CN"/>
        </w:rPr>
      </w:pPr>
    </w:p>
    <w:p>
      <w:pPr>
        <w:pStyle w:val="2"/>
        <w:rPr>
          <w:rFonts w:hint="default" w:ascii="Times New Roman" w:hAnsi="Times New Roman" w:eastAsia="方正黑体_GBK" w:cs="Times New Roman"/>
          <w:sz w:val="32"/>
          <w:szCs w:val="40"/>
          <w:lang w:val="en-US" w:eastAsia="zh-CN"/>
        </w:rPr>
      </w:pPr>
    </w:p>
    <w:p>
      <w:pPr>
        <w:keepNext w:val="0"/>
        <w:keepLines w:val="0"/>
        <w:pageBreakBefore w:val="0"/>
        <w:widowControl w:val="0"/>
        <w:kinsoku/>
        <w:wordWrap/>
        <w:overflowPunct/>
        <w:topLinePunct w:val="0"/>
        <w:bidi w:val="0"/>
        <w:adjustRightInd/>
        <w:snapToGrid/>
        <w:spacing w:line="587" w:lineRule="exact"/>
        <w:jc w:val="center"/>
        <w:textAlignment w:val="auto"/>
        <w:rPr>
          <w:rFonts w:hint="default" w:ascii="Times New Roman" w:hAnsi="Times New Roman" w:eastAsia="方正小标宋_GBK" w:cs="Times New Roman"/>
          <w:w w:val="105"/>
          <w:sz w:val="44"/>
          <w:szCs w:val="44"/>
          <w:lang w:eastAsia="zh-CN"/>
        </w:rPr>
      </w:pPr>
      <w:r>
        <w:rPr>
          <w:rFonts w:hint="default" w:ascii="Times New Roman" w:hAnsi="Times New Roman" w:eastAsia="方正小标宋_GBK" w:cs="Times New Roman"/>
          <w:sz w:val="44"/>
          <w:szCs w:val="44"/>
          <w:lang w:eastAsia="zh-CN"/>
        </w:rPr>
        <w:t>江苏省促进退役风电</w:t>
      </w:r>
      <w:r>
        <w:rPr>
          <w:rFonts w:hint="default" w:ascii="Times New Roman" w:hAnsi="Times New Roman" w:eastAsia="方正小标宋_GBK" w:cs="Times New Roman"/>
          <w:w w:val="105"/>
          <w:sz w:val="44"/>
          <w:szCs w:val="44"/>
          <w:lang w:eastAsia="zh-CN"/>
        </w:rPr>
        <w:t>光伏</w:t>
      </w:r>
    </w:p>
    <w:p>
      <w:pPr>
        <w:keepNext w:val="0"/>
        <w:keepLines w:val="0"/>
        <w:pageBreakBefore w:val="0"/>
        <w:widowControl w:val="0"/>
        <w:kinsoku/>
        <w:wordWrap/>
        <w:overflowPunct/>
        <w:topLinePunct w:val="0"/>
        <w:bidi w:val="0"/>
        <w:adjustRightInd/>
        <w:snapToGrid/>
        <w:spacing w:line="587" w:lineRule="exact"/>
        <w:jc w:val="center"/>
        <w:textAlignment w:val="auto"/>
        <w:rPr>
          <w:rFonts w:hint="default" w:ascii="Times New Roman" w:hAnsi="Times New Roman" w:eastAsia="方正小标宋_GBK" w:cs="Times New Roman"/>
          <w:sz w:val="44"/>
          <w:szCs w:val="44"/>
          <w:lang w:eastAsia="zh-CN"/>
        </w:rPr>
      </w:pPr>
      <w:r>
        <w:rPr>
          <w:rFonts w:hint="default" w:ascii="Times New Roman" w:hAnsi="Times New Roman" w:eastAsia="方正小标宋_GBK" w:cs="Times New Roman"/>
          <w:w w:val="105"/>
          <w:sz w:val="44"/>
          <w:szCs w:val="44"/>
          <w:lang w:eastAsia="zh-CN"/>
        </w:rPr>
        <w:t>设备循环利用</w:t>
      </w:r>
      <w:r>
        <w:rPr>
          <w:rFonts w:hint="default" w:ascii="Times New Roman" w:hAnsi="Times New Roman" w:eastAsia="方正小标宋_GBK" w:cs="Times New Roman"/>
          <w:w w:val="105"/>
          <w:sz w:val="44"/>
          <w:szCs w:val="44"/>
          <w:lang w:val="en-US" w:eastAsia="zh-CN"/>
        </w:rPr>
        <w:t>的</w:t>
      </w:r>
      <w:r>
        <w:rPr>
          <w:rFonts w:hint="default" w:ascii="Times New Roman" w:hAnsi="Times New Roman" w:eastAsia="方正小标宋_GBK" w:cs="Times New Roman"/>
          <w:w w:val="105"/>
          <w:sz w:val="44"/>
          <w:szCs w:val="44"/>
          <w:lang w:eastAsia="zh-CN"/>
        </w:rPr>
        <w:t>实施意见</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left"/>
        <w:textAlignment w:val="auto"/>
        <w:rPr>
          <w:rFonts w:hint="default" w:ascii="Times New Roman" w:hAnsi="Times New Roman" w:eastAsia="方正仿宋_GBK" w:cs="Times New Roman"/>
          <w:sz w:val="32"/>
          <w:szCs w:val="40"/>
          <w:lang w:val="en-US" w:eastAsia="zh-CN"/>
        </w:rPr>
      </w:pP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left"/>
        <w:textAlignment w:val="auto"/>
        <w:rPr>
          <w:rFonts w:hint="default" w:ascii="Times New Roman" w:hAnsi="Times New Roman" w:eastAsia="方正仿宋_GBK" w:cs="Times New Roman"/>
          <w:spacing w:val="-9"/>
          <w:sz w:val="32"/>
          <w:szCs w:val="32"/>
          <w:lang w:val="en-US" w:eastAsia="zh-CN"/>
        </w:rPr>
      </w:pPr>
      <w:r>
        <w:rPr>
          <w:rFonts w:hint="default" w:ascii="Times New Roman" w:hAnsi="Times New Roman" w:eastAsia="方正仿宋_GBK" w:cs="Times New Roman"/>
          <w:sz w:val="32"/>
          <w:szCs w:val="40"/>
          <w:lang w:val="en-US" w:eastAsia="zh-CN"/>
        </w:rPr>
        <w:t>江苏是风电、光伏装备制造大省，也是应用大省。随着产业加快升级和设备更新换代，新能源设备将面临批量退役问题。为全面贯彻党的二十大精神，落实《国家发展改革委等部门关于促进退役风电、光伏设备循环利用的指导意见》（发改环资〔2023〕1030号），加快构建废弃物循环利用体系，促进退役风电、光伏设备循环利用，推进产业链全生命周期循环发展，制定本实施意见。</w:t>
      </w:r>
    </w:p>
    <w:p>
      <w:pPr>
        <w:pStyle w:val="2"/>
        <w:keepNext w:val="0"/>
        <w:keepLines w:val="0"/>
        <w:pageBreakBefore w:val="0"/>
        <w:widowControl w:val="0"/>
        <w:kinsoku/>
        <w:wordWrap/>
        <w:overflowPunct/>
        <w:topLinePunct w:val="0"/>
        <w:bidi w:val="0"/>
        <w:adjustRightInd/>
        <w:snapToGrid/>
        <w:spacing w:line="587" w:lineRule="exact"/>
        <w:ind w:firstLine="672"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黑体_GBK" w:cs="Times New Roman"/>
          <w:w w:val="105"/>
          <w:sz w:val="32"/>
          <w:szCs w:val="32"/>
          <w:lang w:val="en-US" w:eastAsia="zh-CN"/>
        </w:rPr>
        <w:t>一、总体要求</w:t>
      </w:r>
    </w:p>
    <w:p>
      <w:pPr>
        <w:pStyle w:val="2"/>
        <w:keepNext w:val="0"/>
        <w:keepLines w:val="0"/>
        <w:pageBreakBefore w:val="0"/>
        <w:widowControl w:val="0"/>
        <w:numPr>
          <w:ilvl w:val="0"/>
          <w:numId w:val="0"/>
        </w:numPr>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黑体_GBK" w:cs="Times New Roman"/>
          <w:w w:val="105"/>
          <w:sz w:val="32"/>
          <w:szCs w:val="32"/>
          <w:lang w:val="en-US" w:eastAsia="zh-CN"/>
        </w:rPr>
      </w:pPr>
      <w:r>
        <w:rPr>
          <w:rFonts w:hint="default" w:ascii="Times New Roman" w:hAnsi="Times New Roman" w:eastAsia="方正仿宋_GBK" w:cs="Times New Roman"/>
          <w:sz w:val="32"/>
          <w:szCs w:val="40"/>
          <w:lang w:val="en-US" w:eastAsia="zh-CN" w:bidi="ar-SA"/>
        </w:rPr>
        <w:t>以习近平新时代中国特色社会主义思想为指导，全面贯彻党的二十大精神，完整、准确、全面贯彻新发展理念，加快构建新发展格局，着力推动高质量发展，加快发展方式绿色转型。深入践行全面节约战略，强化风电和光伏发电企业依法承担退役新能源设备处理责任，加快构建覆盖绿色化设计、规范化回收、高值化利用、无害化处置等环节的风电、光伏设备循环利用体系。积极推动产业布局、循环利用技术、回收模式、公共服务创新融合，补齐并筑强风电、光伏产业链绿色低碳循环发展最后一环，助力实现碳达峰碳中和。</w:t>
      </w:r>
    </w:p>
    <w:p>
      <w:pPr>
        <w:pStyle w:val="2"/>
        <w:keepNext w:val="0"/>
        <w:keepLines w:val="0"/>
        <w:pageBreakBefore w:val="0"/>
        <w:widowControl w:val="0"/>
        <w:numPr>
          <w:ilvl w:val="0"/>
          <w:numId w:val="1"/>
        </w:numPr>
        <w:kinsoku/>
        <w:wordWrap/>
        <w:overflowPunct/>
        <w:topLinePunct w:val="0"/>
        <w:bidi w:val="0"/>
        <w:adjustRightInd/>
        <w:snapToGrid/>
        <w:spacing w:line="587" w:lineRule="exact"/>
        <w:ind w:firstLine="672" w:firstLineChars="200"/>
        <w:jc w:val="both"/>
        <w:textAlignment w:val="auto"/>
        <w:rPr>
          <w:rFonts w:hint="default" w:ascii="Times New Roman" w:hAnsi="Times New Roman" w:eastAsia="方正黑体_GBK" w:cs="Times New Roman"/>
          <w:w w:val="105"/>
          <w:sz w:val="32"/>
          <w:szCs w:val="32"/>
          <w:lang w:val="en-US" w:eastAsia="zh-CN"/>
        </w:rPr>
      </w:pPr>
      <w:r>
        <w:rPr>
          <w:rFonts w:hint="default" w:ascii="Times New Roman" w:hAnsi="Times New Roman" w:eastAsia="方正黑体_GBK" w:cs="Times New Roman"/>
          <w:w w:val="105"/>
          <w:sz w:val="32"/>
          <w:szCs w:val="32"/>
          <w:lang w:val="en-US" w:eastAsia="zh-CN"/>
        </w:rPr>
        <w:t>主要目标</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仿宋_GBK" w:cs="Times New Roman"/>
          <w:sz w:val="32"/>
          <w:szCs w:val="40"/>
          <w:lang w:val="en-US" w:eastAsia="zh-CN" w:bidi="ar-SA"/>
        </w:rPr>
        <w:t>到2025年，集中式风电场、光伏发电站退役设备处理责任机制基本建立，退役风电、光伏设备循环利用相关标准规范进一步完善，资源循环利用关键技术取得突破。到2030年，风电、光伏设备全流程循环利用技术体系基本成熟，资源循环利用模式更加健全，资源循环利用能力与退役规模有效匹配，标准规范更加完善，形成一批退役风电、光伏设备循环利用产业集聚区，风电、光伏产业资源循环利用水平显著提升。</w:t>
      </w:r>
    </w:p>
    <w:p>
      <w:pPr>
        <w:pStyle w:val="2"/>
        <w:keepNext w:val="0"/>
        <w:keepLines w:val="0"/>
        <w:pageBreakBefore w:val="0"/>
        <w:widowControl w:val="0"/>
        <w:kinsoku/>
        <w:wordWrap/>
        <w:overflowPunct/>
        <w:topLinePunct w:val="0"/>
        <w:bidi w:val="0"/>
        <w:adjustRightInd/>
        <w:snapToGrid/>
        <w:spacing w:line="587" w:lineRule="exact"/>
        <w:ind w:firstLine="672" w:firstLineChars="200"/>
        <w:jc w:val="both"/>
        <w:textAlignment w:val="auto"/>
        <w:rPr>
          <w:rFonts w:hint="default" w:ascii="Times New Roman" w:hAnsi="Times New Roman" w:eastAsia="方正黑体_GBK" w:cs="Times New Roman"/>
          <w:color w:val="FF0000"/>
          <w:w w:val="105"/>
          <w:sz w:val="32"/>
          <w:szCs w:val="32"/>
          <w:lang w:eastAsia="zh-CN"/>
        </w:rPr>
      </w:pPr>
      <w:r>
        <w:rPr>
          <w:rFonts w:hint="default" w:ascii="Times New Roman" w:hAnsi="Times New Roman" w:eastAsia="方正黑体_GBK" w:cs="Times New Roman"/>
          <w:w w:val="105"/>
          <w:sz w:val="32"/>
          <w:szCs w:val="32"/>
          <w:lang w:eastAsia="zh-CN"/>
        </w:rPr>
        <w:t>三、重点任务</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（一）大力推进绿色设计</w:t>
      </w:r>
      <w:r>
        <w:rPr>
          <w:rFonts w:hint="default" w:ascii="Times New Roman" w:hAnsi="Times New Roman" w:eastAsia="方正仿宋_GBK" w:cs="Times New Roman"/>
          <w:sz w:val="32"/>
          <w:szCs w:val="40"/>
          <w:lang w:val="en-US" w:eastAsia="zh-CN" w:bidi="ar-SA"/>
        </w:rPr>
        <w:t>。</w:t>
      </w:r>
    </w:p>
    <w:p>
      <w:pPr>
        <w:pStyle w:val="2"/>
        <w:keepNext w:val="0"/>
        <w:keepLines w:val="0"/>
        <w:pageBreakBefore w:val="0"/>
        <w:widowControl w:val="0"/>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1.提升绿色设计水平。</w:t>
      </w:r>
      <w:r>
        <w:rPr>
          <w:rFonts w:hint="default" w:ascii="Times New Roman" w:hAnsi="Times New Roman" w:eastAsia="方正仿宋_GBK" w:cs="Times New Roman"/>
          <w:sz w:val="32"/>
          <w:szCs w:val="40"/>
          <w:lang w:val="en-US" w:eastAsia="zh-CN" w:bidi="ar-SA"/>
        </w:rPr>
        <w:t>强化标准和规范应用，引导生产制造企业以轻量化、易拆解、易运输、易回收为目标，在产品设计生产阶段进行绿色设计。积极引导企业制定再生材料使用技术标准，鼓励生产制造企业在保障产品质量性能和使用安全的前提下，在产品设计生产过程中优先选用树脂、硅料等可重塑产品的再生材料。积极支持企业申报“绿色设计示范企业”。</w:t>
      </w:r>
      <w:r>
        <w:rPr>
          <w:rFonts w:hint="default" w:ascii="Times New Roman" w:hAnsi="Times New Roman" w:eastAsia="方正楷体_GBK" w:cs="Times New Roman"/>
          <w:sz w:val="32"/>
          <w:szCs w:val="40"/>
          <w:lang w:val="en-US" w:eastAsia="zh-CN" w:bidi="ar-SA"/>
        </w:rPr>
        <w:t>（省工业和信息化厅、省发展改革委、省市场监管局按职责分工负责）</w:t>
      </w:r>
    </w:p>
    <w:p>
      <w:pPr>
        <w:pStyle w:val="2"/>
        <w:keepNext w:val="0"/>
        <w:keepLines w:val="0"/>
        <w:pageBreakBefore w:val="0"/>
        <w:widowControl w:val="0"/>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2.推进产品绿色认证。</w:t>
      </w:r>
      <w:r>
        <w:rPr>
          <w:rFonts w:hint="default" w:ascii="Times New Roman" w:hAnsi="Times New Roman" w:eastAsia="方正仿宋_GBK" w:cs="Times New Roman"/>
          <w:sz w:val="32"/>
          <w:szCs w:val="40"/>
          <w:lang w:val="en-US" w:eastAsia="zh-CN" w:bidi="ar-SA"/>
        </w:rPr>
        <w:t>完善风电、光伏设备及相关零部件绿色产品评价标准，将设备及零部件可回收、可循环利用作为评价的重要指标。</w:t>
      </w:r>
      <w:r>
        <w:rPr>
          <w:rFonts w:hint="default" w:ascii="Times New Roman" w:hAnsi="Times New Roman" w:eastAsia="方正楷体_GBK" w:cs="Times New Roman"/>
          <w:sz w:val="32"/>
          <w:szCs w:val="40"/>
          <w:lang w:val="en-US" w:eastAsia="zh-CN" w:bidi="ar-SA"/>
        </w:rPr>
        <w:t>（省市场监管局负责）</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3.协同提升回收处置</w:t>
      </w:r>
      <w:r>
        <w:rPr>
          <w:rFonts w:hint="eastAsia" w:ascii="Times New Roman" w:hAnsi="Times New Roman" w:eastAsia="方正楷体_GBK" w:cs="Times New Roman"/>
          <w:sz w:val="32"/>
          <w:szCs w:val="40"/>
          <w:lang w:val="en-US" w:eastAsia="zh-CN" w:bidi="ar-SA"/>
        </w:rPr>
        <w:t>效率</w:t>
      </w:r>
      <w:r>
        <w:rPr>
          <w:rFonts w:hint="default" w:ascii="Times New Roman" w:hAnsi="Times New Roman" w:eastAsia="方正楷体_GBK" w:cs="Times New Roman"/>
          <w:sz w:val="32"/>
          <w:szCs w:val="40"/>
          <w:lang w:val="en-US" w:eastAsia="zh-CN" w:bidi="ar-SA"/>
        </w:rPr>
        <w:t>。</w:t>
      </w:r>
      <w:r>
        <w:rPr>
          <w:rFonts w:hint="default" w:ascii="Times New Roman" w:hAnsi="Times New Roman" w:eastAsia="方正仿宋_GBK" w:cs="Times New Roman"/>
          <w:sz w:val="32"/>
          <w:szCs w:val="40"/>
          <w:lang w:val="en-US" w:eastAsia="zh-CN" w:bidi="ar-SA"/>
        </w:rPr>
        <w:t>引导新能源设备生产制造企业向退役设备回收、资源化利用主体提供产品结构、</w:t>
      </w:r>
      <w:r>
        <w:rPr>
          <w:rFonts w:hint="eastAsia" w:ascii="Times New Roman" w:hAnsi="Times New Roman" w:eastAsia="方正仿宋_GBK" w:cs="Times New Roman"/>
          <w:sz w:val="32"/>
          <w:szCs w:val="40"/>
          <w:lang w:val="en-US" w:eastAsia="zh-CN" w:bidi="ar-SA"/>
        </w:rPr>
        <w:t>成分</w:t>
      </w:r>
      <w:r>
        <w:rPr>
          <w:rFonts w:hint="default" w:ascii="Times New Roman" w:hAnsi="Times New Roman" w:eastAsia="方正仿宋_GBK" w:cs="Times New Roman"/>
          <w:sz w:val="32"/>
          <w:szCs w:val="40"/>
          <w:lang w:val="en-US" w:eastAsia="zh-CN" w:bidi="ar-SA"/>
        </w:rPr>
        <w:t>及资源循环利用技术建议，便于设备安全拆解及材料再生利用方向选择，提升退役新能源设备回收处置效率和水平。</w:t>
      </w:r>
      <w:r>
        <w:rPr>
          <w:rFonts w:hint="default" w:ascii="Times New Roman" w:hAnsi="Times New Roman" w:eastAsia="方正楷体_GBK" w:cs="Times New Roman"/>
          <w:sz w:val="32"/>
          <w:szCs w:val="40"/>
          <w:lang w:val="en-US" w:eastAsia="zh-CN" w:bidi="ar-SA"/>
        </w:rPr>
        <w:t>（省工业和信息化厅、省发展改革委按职责分工负责）</w:t>
      </w:r>
    </w:p>
    <w:p>
      <w:pPr>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（二）建立健全退役设备处理责任机制。</w:t>
      </w:r>
    </w:p>
    <w:p>
      <w:pPr>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1.明确回收处理责任。</w:t>
      </w:r>
      <w:r>
        <w:rPr>
          <w:rFonts w:hint="default" w:ascii="Times New Roman" w:hAnsi="Times New Roman" w:eastAsia="方正仿宋_GBK" w:cs="Times New Roman"/>
          <w:sz w:val="32"/>
          <w:szCs w:val="40"/>
          <w:lang w:val="en-US" w:eastAsia="zh-CN" w:bidi="ar-SA"/>
        </w:rPr>
        <w:t>督促指导集中式风电和光伏发电企业依法承担退役新能源设备（含零部件，下同）处理责任，不得擅自以填埋、焚烧、丢弃等方式非法处置退役设备，不得向生活垃圾收集设施中投放工业固体废弃物，节约资源，防治污染。</w:t>
      </w:r>
      <w:r>
        <w:rPr>
          <w:rFonts w:hint="default" w:ascii="Times New Roman" w:hAnsi="Times New Roman" w:eastAsia="方正楷体_GBK" w:cs="Times New Roman"/>
          <w:sz w:val="32"/>
          <w:szCs w:val="40"/>
          <w:lang w:val="en-US" w:eastAsia="zh-CN" w:bidi="ar-SA"/>
        </w:rPr>
        <w:t>（省能源局、省生态环境厅按职责分工负责）</w:t>
      </w:r>
    </w:p>
    <w:p>
      <w:pPr>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2.完善回收处置方案。</w:t>
      </w:r>
      <w:r>
        <w:rPr>
          <w:rFonts w:hint="default" w:ascii="Times New Roman" w:hAnsi="Times New Roman" w:eastAsia="方正仿宋_GBK" w:cs="Times New Roman"/>
          <w:sz w:val="32"/>
          <w:szCs w:val="40"/>
          <w:lang w:val="en-US" w:eastAsia="zh-CN" w:bidi="ar-SA"/>
        </w:rPr>
        <w:t>贯彻落实《风电场改造升级和退役管理办法》，督促指导</w:t>
      </w:r>
      <w:r>
        <w:rPr>
          <w:rFonts w:hint="default" w:ascii="Times New Roman" w:hAnsi="Times New Roman" w:eastAsia="方正仿宋_GBK" w:cs="Times New Roman"/>
          <w:color w:val="000000"/>
          <w:sz w:val="30"/>
          <w:szCs w:val="30"/>
        </w:rPr>
        <w:t>发电企业依法依规负责风电场改造升级和退役的废弃物循环利用和处置</w:t>
      </w:r>
      <w:r>
        <w:rPr>
          <w:rFonts w:hint="default" w:ascii="Times New Roman" w:hAnsi="Times New Roman" w:eastAsia="方正仿宋_GBK" w:cs="Times New Roman"/>
          <w:color w:val="000000"/>
          <w:sz w:val="30"/>
          <w:szCs w:val="30"/>
          <w:lang w:eastAsia="zh-CN"/>
        </w:rPr>
        <w:t>，完善废弃物循环利用和处置方案，</w:t>
      </w:r>
      <w:r>
        <w:rPr>
          <w:rFonts w:hint="default" w:ascii="Times New Roman" w:hAnsi="Times New Roman" w:eastAsia="方正仿宋_GBK" w:cs="Times New Roman"/>
          <w:sz w:val="32"/>
          <w:szCs w:val="40"/>
          <w:lang w:val="en-US" w:eastAsia="zh-CN" w:bidi="ar-SA"/>
        </w:rPr>
        <w:t>将退役设备回收、循环利用和妥善处置作为风电场改造升级项目的重要内容。</w:t>
      </w:r>
      <w:r>
        <w:rPr>
          <w:rFonts w:hint="default" w:ascii="Times New Roman" w:hAnsi="Times New Roman" w:eastAsia="方正楷体_GBK" w:cs="Times New Roman"/>
          <w:sz w:val="32"/>
          <w:szCs w:val="40"/>
          <w:lang w:val="en-US" w:eastAsia="zh-CN" w:bidi="ar-SA"/>
        </w:rPr>
        <w:t>（省能源局、省生态环境厅按职责分工负责）</w:t>
      </w:r>
    </w:p>
    <w:p>
      <w:pPr>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3.做好生态修复。</w:t>
      </w:r>
      <w:r>
        <w:rPr>
          <w:rFonts w:hint="default" w:ascii="Times New Roman" w:hAnsi="Times New Roman" w:eastAsia="方正仿宋_GBK" w:cs="Times New Roman"/>
          <w:sz w:val="32"/>
          <w:szCs w:val="40"/>
          <w:lang w:val="en-US" w:eastAsia="zh-CN" w:bidi="ar-SA"/>
        </w:rPr>
        <w:t>督促指导发电企业拆除风电、光伏设备后及时做好周边生态环境修复。</w:t>
      </w:r>
      <w:r>
        <w:rPr>
          <w:rFonts w:hint="default" w:ascii="Times New Roman" w:hAnsi="Times New Roman" w:eastAsia="方正楷体_GBK" w:cs="Times New Roman"/>
          <w:sz w:val="32"/>
          <w:szCs w:val="40"/>
          <w:lang w:val="en-US" w:eastAsia="zh-CN" w:bidi="ar-SA"/>
        </w:rPr>
        <w:t>（省能源局、省自然资源厅按职责分工负责）</w:t>
      </w:r>
    </w:p>
    <w:p>
      <w:pPr>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4.建立设备报废管理制度。</w:t>
      </w:r>
      <w:r>
        <w:rPr>
          <w:rFonts w:hint="default" w:ascii="Times New Roman" w:hAnsi="Times New Roman" w:eastAsia="方正仿宋_GBK" w:cs="Times New Roman"/>
          <w:sz w:val="32"/>
          <w:szCs w:val="40"/>
          <w:lang w:val="en-US" w:eastAsia="zh-CN" w:bidi="ar-SA"/>
        </w:rPr>
        <w:t>指导发电企业完善退役风电、光伏设备报废管理制度，提升报废资产处置效率。落实国有资产交易流转有关要求，进一步优化国有退役风电、光伏设备处理处置制度，推动企业高效、规范处置相关资产。</w:t>
      </w:r>
      <w:r>
        <w:rPr>
          <w:rFonts w:hint="default" w:ascii="Times New Roman" w:hAnsi="Times New Roman" w:eastAsia="方正楷体_GBK" w:cs="Times New Roman"/>
          <w:sz w:val="32"/>
          <w:szCs w:val="40"/>
          <w:lang w:val="en-US" w:eastAsia="zh-CN" w:bidi="ar-SA"/>
        </w:rPr>
        <w:t>（省国资委、省能源局按职责分工负责）</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（三）建立完善退役设备回收处置体系</w:t>
      </w:r>
      <w:r>
        <w:rPr>
          <w:rFonts w:hint="default" w:ascii="Times New Roman" w:hAnsi="Times New Roman" w:eastAsia="方正仿宋_GBK" w:cs="Times New Roman"/>
          <w:sz w:val="32"/>
          <w:szCs w:val="40"/>
          <w:lang w:val="en-US" w:eastAsia="zh-CN" w:bidi="ar-SA"/>
        </w:rPr>
        <w:t>。</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方正楷体_GBK" w:cs="Times New Roman"/>
          <w:sz w:val="32"/>
          <w:szCs w:val="40"/>
          <w:lang w:val="en-US" w:eastAsia="zh-CN" w:bidi="ar-SA"/>
        </w:rPr>
        <w:t>1.科学布局回收利用产业。</w:t>
      </w:r>
      <w:r>
        <w:rPr>
          <w:rFonts w:hint="default" w:ascii="Times New Roman" w:hAnsi="Times New Roman" w:eastAsia="方正仿宋_GBK" w:cs="Times New Roman"/>
          <w:sz w:val="32"/>
          <w:szCs w:val="40"/>
          <w:lang w:val="en-US" w:eastAsia="zh-CN" w:bidi="ar-SA"/>
        </w:rPr>
        <w:t>按照“统筹规划、合理布局、市场运作”的原则，统筹全省风电、光伏设备生产企业和风电、光伏发电企业分布，综合退役设备产生量和收集半径，兼顾项目类型、投资规模及省内、省外退役设备处置需求等要素，以集中式风电场、光伏发电站较为密集区域布局退役设备回收、分解、破碎、提纯企业。以风电、光伏设备生产企业自有技术，自行或指导具备能力的企业开展退役设备回收利用处置。</w:t>
      </w:r>
      <w:r>
        <w:rPr>
          <w:rFonts w:hint="default" w:ascii="Times New Roman" w:hAnsi="Times New Roman" w:eastAsia="方正楷体_GBK" w:cs="Times New Roman"/>
          <w:sz w:val="32"/>
          <w:szCs w:val="40"/>
          <w:lang w:val="en-US" w:eastAsia="zh-CN" w:bidi="ar-SA"/>
        </w:rPr>
        <w:t>（省发展改革委、省工业和信息化厅、省商务厅按职责分工负责）</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2.构建多样式回收处置模式。</w:t>
      </w:r>
      <w:r>
        <w:rPr>
          <w:rFonts w:hint="default" w:ascii="Times New Roman" w:hAnsi="Times New Roman" w:eastAsia="方正仿宋_GBK" w:cs="Times New Roman"/>
          <w:sz w:val="32"/>
          <w:szCs w:val="40"/>
          <w:lang w:val="en-US" w:eastAsia="zh-CN" w:bidi="ar-SA"/>
        </w:rPr>
        <w:t>鼓励建立退役新能源设备拆除、拆解、运输、回收、利用处置“一站式”服务模式。鼓励风电、光伏设备生产企业精准回收处置专属品牌产品。鼓励多家不同产品制造商合作建立联合回收实体，共享拆除、运输设备和利用、处置技术及退役设备循环利用产品等资源。鼓励风电、光伏产品生产企业和发电企业发挥技术优势，建设退役新能源设备回收处置设施，直接回收处置退役新能源设备。鼓励成立退役新能源设备回收、检验和运输、再利用专业回收企业，专业处置不同种类、品牌、型号的退役设备。鼓励自主回收、联合回收、委托回收、专业处置利用协同发力，形成多种回收处置模式并存互补、市场化运作的业态氛围。</w:t>
      </w:r>
      <w:r>
        <w:rPr>
          <w:rFonts w:hint="default" w:ascii="Times New Roman" w:hAnsi="Times New Roman" w:eastAsia="方正楷体_GBK" w:cs="Times New Roman"/>
          <w:sz w:val="32"/>
          <w:szCs w:val="40"/>
          <w:lang w:val="en-US" w:eastAsia="zh-CN" w:bidi="ar-SA"/>
        </w:rPr>
        <w:t>（省发展改革委、省工业和信息化厅、省商务厅按职责分工负责）</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cs="Times New Roman"/>
          <w:lang w:val="en-US" w:eastAsia="zh-CN"/>
        </w:rPr>
      </w:pPr>
      <w:r>
        <w:rPr>
          <w:rFonts w:hint="default" w:ascii="Times New Roman" w:hAnsi="Times New Roman" w:eastAsia="方正楷体_GBK" w:cs="Times New Roman"/>
          <w:sz w:val="32"/>
          <w:szCs w:val="40"/>
          <w:lang w:val="en-US" w:eastAsia="zh-CN" w:bidi="ar-SA"/>
        </w:rPr>
        <w:t>3.推动产业链全生命周期协同发展。</w:t>
      </w:r>
      <w:r>
        <w:rPr>
          <w:rFonts w:hint="default" w:ascii="Times New Roman" w:hAnsi="Times New Roman" w:eastAsia="方正仿宋_GBK" w:cs="Times New Roman"/>
          <w:sz w:val="32"/>
          <w:szCs w:val="40"/>
          <w:lang w:val="en-US" w:eastAsia="zh-CN" w:bidi="ar-SA"/>
        </w:rPr>
        <w:t>落实生产者责任延伸制度，加强产业链上下游协同，强化产品全生命周期溯源管理。构建以风电和光伏发电企业为支点，上联设备生产企业，下联退役设备处置企业，畅通退役设备回收利用渠道，形成“设备―装配―使用―拆解―资源再加工―产品”的资源循环利用绿色产业链条，协同推进退役设备返厂修理或再制造、基础原料再生利用或梯次利用等，节材降碳。强化风电叶片、光伏组件等生产过程中的边角料，以及装配过程中的废弃物等的循环利用，实现源头减排。</w:t>
      </w:r>
      <w:r>
        <w:rPr>
          <w:rFonts w:hint="default" w:ascii="Times New Roman" w:hAnsi="Times New Roman" w:eastAsia="方正楷体_GBK" w:cs="Times New Roman"/>
          <w:sz w:val="32"/>
          <w:szCs w:val="40"/>
          <w:lang w:val="en-US" w:eastAsia="zh-CN" w:bidi="ar-SA"/>
        </w:rPr>
        <w:t>（省工业和信息化厅、省发展改革委按职责分工负责）</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（四）提高循环再生利用水平</w:t>
      </w:r>
      <w:r>
        <w:rPr>
          <w:rFonts w:hint="default" w:ascii="Times New Roman" w:hAnsi="Times New Roman" w:eastAsia="方正仿宋_GBK" w:cs="Times New Roman"/>
          <w:sz w:val="32"/>
          <w:szCs w:val="40"/>
          <w:lang w:val="en-US" w:eastAsia="zh-CN" w:bidi="ar-SA"/>
        </w:rPr>
        <w:t>。</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1.提升拆解利用水平。</w:t>
      </w:r>
      <w:r>
        <w:rPr>
          <w:rFonts w:hint="default" w:ascii="Times New Roman" w:hAnsi="Times New Roman" w:eastAsia="方正仿宋_GBK" w:cs="Times New Roman"/>
          <w:sz w:val="32"/>
          <w:szCs w:val="40"/>
          <w:lang w:val="en-US" w:eastAsia="zh-CN" w:bidi="ar-SA"/>
        </w:rPr>
        <w:t>鼓励回收再生利用企业开展退役风电、光伏设备精细化拆解和高水平再生利用，重点聚焦风电机组中的叶片、机舱、发电机、齿轮箱、电控柜等部件，以及光伏组件中的光伏层压件、边框、接线盒等部件实施高水平再生利用。引导风电机组叶片等大型设备拆除后大改小，或就地、就近、集中拆解破碎，再生基础材料。</w:t>
      </w:r>
      <w:r>
        <w:rPr>
          <w:rFonts w:hint="default" w:ascii="Times New Roman" w:hAnsi="Times New Roman" w:eastAsia="方正楷体_GBK" w:cs="Times New Roman"/>
          <w:sz w:val="32"/>
          <w:szCs w:val="40"/>
          <w:lang w:val="en-US" w:eastAsia="zh-CN" w:bidi="ar-SA"/>
        </w:rPr>
        <w:t>（省工业和信息化厅、省发展改革委按职责分工负责）</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2.强化再生利用产业化能力。</w:t>
      </w:r>
      <w:r>
        <w:rPr>
          <w:rFonts w:hint="default" w:ascii="Times New Roman" w:hAnsi="Times New Roman" w:eastAsia="方正仿宋_GBK" w:cs="Times New Roman"/>
          <w:sz w:val="32"/>
          <w:szCs w:val="40"/>
          <w:lang w:val="en-US" w:eastAsia="zh-CN" w:bidi="ar-SA"/>
        </w:rPr>
        <w:t>支持龙头企业聚焦风机叶片中的纤维复合材料，以及光伏组件中的半导体材料、金属材料、聚合物等，探索兼顾经济性、环保性的再生利用先进技术和商业模式，加快形成再生利用产业化能力。</w:t>
      </w:r>
      <w:r>
        <w:rPr>
          <w:rFonts w:hint="default" w:ascii="Times New Roman" w:hAnsi="Times New Roman" w:eastAsia="方正楷体_GBK" w:cs="Times New Roman"/>
          <w:sz w:val="32"/>
          <w:szCs w:val="40"/>
          <w:lang w:val="en-US" w:eastAsia="zh-CN" w:bidi="ar-SA"/>
        </w:rPr>
        <w:t>（省科技厅、省工业和信息化厅、省发展改革委按职责分工负责）</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7" w:lineRule="exact"/>
        <w:ind w:firstLine="640" w:firstLineChars="200"/>
        <w:jc w:val="both"/>
        <w:textAlignment w:val="auto"/>
        <w:outlineLvl w:val="9"/>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3.稳妥有序推进再制造。</w:t>
      </w:r>
      <w:r>
        <w:rPr>
          <w:rFonts w:hint="default" w:ascii="Times New Roman" w:hAnsi="Times New Roman" w:eastAsia="方正仿宋_GBK" w:cs="Times New Roman"/>
          <w:sz w:val="32"/>
          <w:szCs w:val="40"/>
          <w:lang w:val="en-US" w:eastAsia="zh-CN" w:bidi="ar-SA"/>
        </w:rPr>
        <w:t>推进退役新能源设备再制造产业发展，率先发展风电设备中发电机、齿轮箱、主轴承等高值化部件，以及光伏逆变器等关键零部件再制造。稳妥有序探索在新能源运营维修领域应用再制造部件，支持风电、光伏设备生产制造企业和运维企业拓展再制造业务。严格用户采购再制造产品质量把关。</w:t>
      </w:r>
      <w:r>
        <w:rPr>
          <w:rFonts w:hint="default" w:ascii="Times New Roman" w:hAnsi="Times New Roman" w:eastAsia="方正楷体_GBK" w:cs="Times New Roman"/>
          <w:sz w:val="32"/>
          <w:szCs w:val="40"/>
          <w:lang w:val="en-US" w:eastAsia="zh-CN" w:bidi="ar-SA"/>
        </w:rPr>
        <w:t>（省工业和信息化厅、省发展改革委、省市场监管局按职责分工负责）</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（五）加快重点难点技术攻关</w:t>
      </w:r>
      <w:r>
        <w:rPr>
          <w:rFonts w:hint="default" w:ascii="Times New Roman" w:hAnsi="Times New Roman" w:eastAsia="方正仿宋_GBK" w:cs="Times New Roman"/>
          <w:sz w:val="32"/>
          <w:szCs w:val="40"/>
          <w:lang w:val="en-US" w:eastAsia="zh-CN" w:bidi="ar-SA"/>
        </w:rPr>
        <w:t>。</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1.推动全材料整线回收工艺攻关。</w:t>
      </w:r>
      <w:r>
        <w:rPr>
          <w:rFonts w:hint="default" w:ascii="Times New Roman" w:hAnsi="Times New Roman" w:eastAsia="方正仿宋_GBK" w:cs="Times New Roman"/>
          <w:sz w:val="32"/>
          <w:szCs w:val="40"/>
          <w:lang w:val="en-US" w:eastAsia="zh-CN" w:bidi="ar-SA"/>
        </w:rPr>
        <w:t>建立企业与高校科研院所产学研融合，重点开展光伏组件高纯分离、稀有金属回收提取、复合材料回收利用、再生资源高效利用、风电设备零部件再制造等重点难点技术攻关，突破核心技术装备，研究建立全材料整线回收工艺。</w:t>
      </w:r>
      <w:r>
        <w:rPr>
          <w:rFonts w:hint="default" w:ascii="Times New Roman" w:hAnsi="Times New Roman" w:eastAsia="方正楷体_GBK" w:cs="Times New Roman"/>
          <w:sz w:val="32"/>
          <w:szCs w:val="40"/>
          <w:lang w:val="en-US" w:eastAsia="zh-CN" w:bidi="ar-SA"/>
        </w:rPr>
        <w:t>（省工业和信息化厅、省科技厅、省市场监管局按职责分工负责）</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2.推动退役设备梯次利用技术攻关。</w:t>
      </w:r>
      <w:r>
        <w:rPr>
          <w:rFonts w:hint="default" w:ascii="Times New Roman" w:hAnsi="Times New Roman" w:eastAsia="方正仿宋_GBK" w:cs="Times New Roman"/>
          <w:sz w:val="32"/>
          <w:szCs w:val="40"/>
          <w:lang w:val="en-US" w:eastAsia="zh-CN" w:bidi="ar-SA"/>
        </w:rPr>
        <w:t>开发风电、光伏设备残余寿命评估技术，构建设备寿命评估方法学和技术体系，推动设备及关键部件延续利用和梯次利用。</w:t>
      </w:r>
      <w:r>
        <w:rPr>
          <w:rFonts w:hint="eastAsia" w:ascii="Times New Roman" w:hAnsi="Times New Roman" w:eastAsia="方正仿宋_GBK" w:cs="Times New Roman"/>
          <w:sz w:val="32"/>
          <w:szCs w:val="40"/>
          <w:lang w:val="en-US" w:eastAsia="zh-CN" w:bidi="ar-SA"/>
        </w:rPr>
        <w:t>依托省级科技计划</w:t>
      </w:r>
      <w:r>
        <w:rPr>
          <w:rFonts w:hint="default" w:ascii="Times New Roman" w:hAnsi="Times New Roman" w:eastAsia="方正仿宋_GBK" w:cs="Times New Roman"/>
          <w:sz w:val="32"/>
          <w:szCs w:val="40"/>
          <w:lang w:val="en-US" w:eastAsia="zh-CN" w:bidi="ar-SA"/>
        </w:rPr>
        <w:t>支持退役新能源设备循环利用技术研发</w:t>
      </w:r>
      <w:r>
        <w:rPr>
          <w:rFonts w:hint="eastAsia" w:ascii="Times New Roman" w:hAnsi="Times New Roman" w:eastAsia="方正仿宋_GBK" w:cs="Times New Roman"/>
          <w:sz w:val="32"/>
          <w:szCs w:val="40"/>
          <w:lang w:val="en-US" w:eastAsia="zh-CN" w:bidi="ar-SA"/>
        </w:rPr>
        <w:t>。</w:t>
      </w:r>
      <w:r>
        <w:rPr>
          <w:rFonts w:hint="default" w:ascii="Times New Roman" w:hAnsi="Times New Roman" w:eastAsia="方正楷体_GBK" w:cs="Times New Roman"/>
          <w:sz w:val="32"/>
          <w:szCs w:val="40"/>
          <w:lang w:val="en-US" w:eastAsia="zh-CN" w:bidi="ar-SA"/>
        </w:rPr>
        <w:t>（省工业和信息化厅、省科技厅、省市场监管局按职责分工负责）</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（六）规范固体废弃物无害化处理。</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1.加强污染防治。</w:t>
      </w:r>
      <w:r>
        <w:rPr>
          <w:rFonts w:hint="default" w:ascii="Times New Roman" w:hAnsi="Times New Roman" w:eastAsia="方正仿宋_GBK" w:cs="Times New Roman"/>
          <w:sz w:val="32"/>
          <w:szCs w:val="40"/>
          <w:lang w:val="en-US" w:eastAsia="zh-CN" w:bidi="ar-SA"/>
        </w:rPr>
        <w:t>加大对退役风电、光伏设备回收利用处置环境污染防治的监管力度，严格退役设备无害化处置的污染控制要求，减少终端固体废弃物带来的环境污染风险。</w:t>
      </w:r>
      <w:r>
        <w:rPr>
          <w:rFonts w:hint="default" w:ascii="Times New Roman" w:hAnsi="Times New Roman" w:eastAsia="方正楷体_GBK" w:cs="Times New Roman"/>
          <w:sz w:val="32"/>
          <w:szCs w:val="40"/>
          <w:lang w:val="en-US" w:eastAsia="zh-CN" w:bidi="ar-SA"/>
        </w:rPr>
        <w:t>（省生态环境厅负责）</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2.制定标准规范。</w:t>
      </w:r>
      <w:r>
        <w:rPr>
          <w:rFonts w:hint="default" w:ascii="Times New Roman" w:hAnsi="Times New Roman" w:eastAsia="方正仿宋_GBK" w:cs="Times New Roman"/>
          <w:sz w:val="32"/>
          <w:szCs w:val="40"/>
          <w:lang w:val="en-US" w:eastAsia="zh-CN" w:bidi="ar-SA"/>
        </w:rPr>
        <w:t>制定并实施《废弃光伏组件综合利用污染控制技术规范》《废风电叶片回收与再生利用污染控制技术规范》等规范标准，将相关要求纳入《江苏省固体废物污染环境防治条例》修订内容。</w:t>
      </w:r>
      <w:r>
        <w:rPr>
          <w:rFonts w:hint="default" w:ascii="Times New Roman" w:hAnsi="Times New Roman" w:eastAsia="方正楷体_GBK" w:cs="Times New Roman"/>
          <w:sz w:val="32"/>
          <w:szCs w:val="40"/>
          <w:lang w:val="en-US" w:eastAsia="zh-CN" w:bidi="ar-SA"/>
        </w:rPr>
        <w:t>（省生态环境厅、省发展改革委按职责分工负责）</w:t>
      </w:r>
    </w:p>
    <w:p>
      <w:pPr>
        <w:keepNext w:val="0"/>
        <w:keepLines w:val="0"/>
        <w:pageBreakBefore w:val="0"/>
        <w:widowControl w:val="0"/>
        <w:kinsoku/>
        <w:wordWrap/>
        <w:overflowPunct/>
        <w:topLinePunct w:val="0"/>
        <w:autoSpaceDE/>
        <w:autoSpaceDN/>
        <w:bidi w:val="0"/>
        <w:adjustRightInd/>
        <w:snapToGrid/>
        <w:spacing w:line="587" w:lineRule="exact"/>
        <w:ind w:left="0"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3.防治次生污染。</w:t>
      </w:r>
      <w:r>
        <w:rPr>
          <w:rFonts w:hint="default" w:ascii="Times New Roman" w:hAnsi="Times New Roman" w:eastAsia="方正仿宋_GBK" w:cs="Times New Roman"/>
          <w:sz w:val="32"/>
          <w:szCs w:val="40"/>
          <w:lang w:val="en-US" w:eastAsia="zh-CN" w:bidi="ar-SA"/>
        </w:rPr>
        <w:t>引导退役新能源设备能用尽用，提倡综合利用，禁止非法焚烧、填埋、丟弃，集约节约资源。加强回收利用处理废弃风机叶片、光伏组件整机和零部件的环境影响的评价，落实防治固体废物污染环境和破坏生态的措施以及固体废物污染环境防治设施投资概算，防止过程性污染和次生固体废物污染二次转移。退役新能源设备主体产生的工业固体废物委托他人运输、利用、处置工业固体废物的，应当对受托方的主体资格和技术能力进行核实，依法签订书面合同，在合同中约定污染防治等要求，防治次生污染产生。</w:t>
      </w:r>
      <w:r>
        <w:rPr>
          <w:rFonts w:hint="default" w:ascii="Times New Roman" w:hAnsi="Times New Roman" w:eastAsia="方正楷体_GBK" w:cs="Times New Roman"/>
          <w:sz w:val="32"/>
          <w:szCs w:val="40"/>
          <w:lang w:val="en-US" w:eastAsia="zh-CN" w:bidi="ar-SA"/>
        </w:rPr>
        <w:t>（省生态环境厅、省发展改革委、省工业信息化厅</w:t>
      </w:r>
      <w:bookmarkStart w:id="0" w:name="_GoBack"/>
      <w:bookmarkEnd w:id="0"/>
      <w:r>
        <w:rPr>
          <w:rFonts w:hint="default" w:ascii="Times New Roman" w:hAnsi="Times New Roman" w:eastAsia="方正楷体_GBK" w:cs="Times New Roman"/>
          <w:sz w:val="32"/>
          <w:szCs w:val="40"/>
          <w:lang w:val="en-US" w:eastAsia="zh-CN" w:bidi="ar-SA"/>
        </w:rPr>
        <w:t>按职责分工负责）</w:t>
      </w:r>
    </w:p>
    <w:p>
      <w:pPr>
        <w:keepNext w:val="0"/>
        <w:keepLines w:val="0"/>
        <w:pageBreakBefore w:val="0"/>
        <w:widowControl w:val="0"/>
        <w:kinsoku/>
        <w:wordWrap/>
        <w:overflowPunct/>
        <w:topLinePunct w:val="0"/>
        <w:autoSpaceDE/>
        <w:autoSpaceDN/>
        <w:bidi w:val="0"/>
        <w:adjustRightInd/>
        <w:snapToGrid/>
        <w:spacing w:line="587" w:lineRule="exact"/>
        <w:ind w:left="0"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（七）提升集聚化发展水平。</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1.推动再生资源加工集聚化。</w:t>
      </w:r>
      <w:r>
        <w:rPr>
          <w:rFonts w:hint="default" w:ascii="Times New Roman" w:hAnsi="Times New Roman" w:eastAsia="方正仿宋_GBK" w:cs="Times New Roman"/>
          <w:sz w:val="32"/>
          <w:szCs w:val="40"/>
          <w:lang w:val="en-US" w:eastAsia="zh-CN" w:bidi="ar-SA"/>
        </w:rPr>
        <w:t>引导再生资源回收企业规范有序回收废钢铁、废有色金属等再生资源。支持邳州市循环经济产业园、江苏戴南科技园区国家“城市矿产”示范基地和11家省级“城市矿产”示范试点基地，</w:t>
      </w:r>
      <w:r>
        <w:rPr>
          <w:rFonts w:hint="default" w:ascii="Times New Roman" w:hAnsi="Times New Roman" w:eastAsia="方正仿宋_GBK" w:cs="Times New Roman"/>
          <w:spacing w:val="-9"/>
          <w:sz w:val="32"/>
          <w:szCs w:val="32"/>
          <w:lang w:val="en-US" w:eastAsia="zh-CN"/>
        </w:rPr>
        <w:t>将风电、光伏退役资源回收、初加工和深加工等再生资源全产业链纳入“城市矿产”领域建设内容。</w:t>
      </w:r>
      <w:r>
        <w:rPr>
          <w:rFonts w:hint="default" w:ascii="Times New Roman" w:hAnsi="Times New Roman" w:eastAsia="方正楷体_GBK" w:cs="Times New Roman"/>
          <w:sz w:val="32"/>
          <w:szCs w:val="40"/>
          <w:lang w:val="en-US" w:eastAsia="zh-CN" w:bidi="ar-SA"/>
        </w:rPr>
        <w:t>（省发展改革委、省商务厅按职责分工负责）</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楷体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2.打造循环利用产业集聚区。</w:t>
      </w:r>
      <w:r>
        <w:rPr>
          <w:rFonts w:hint="default" w:ascii="Times New Roman" w:hAnsi="Times New Roman" w:eastAsia="方正仿宋_GBK" w:cs="Times New Roman"/>
          <w:sz w:val="32"/>
          <w:szCs w:val="40"/>
          <w:lang w:val="en-US" w:eastAsia="zh-CN" w:bidi="ar-SA"/>
        </w:rPr>
        <w:t>充分考虑空间产业布局整体规划，技术、环境、土地、资金、能源等项目建设保障要素，支持具备条件的地区建设退役新能源设备循环利用产业集聚区。支持在沿海、沿江地区高质量补齐风电、光伏产业链绿色低碳循环发展最后一环，建成退役风电、光伏设备循环利用特色产业集聚区。</w:t>
      </w:r>
      <w:r>
        <w:rPr>
          <w:rFonts w:hint="default" w:ascii="Times New Roman" w:hAnsi="Times New Roman" w:eastAsia="方正楷体_GBK" w:cs="Times New Roman"/>
          <w:sz w:val="32"/>
          <w:szCs w:val="40"/>
          <w:lang w:val="en-US" w:eastAsia="zh-CN" w:bidi="ar-SA"/>
        </w:rPr>
        <w:t>（省发展改革委、省生态环境厅按职责分工负责）</w:t>
      </w:r>
    </w:p>
    <w:p>
      <w:pPr>
        <w:pStyle w:val="2"/>
        <w:keepNext w:val="0"/>
        <w:keepLines w:val="0"/>
        <w:pageBreakBefore w:val="0"/>
        <w:widowControl w:val="0"/>
        <w:kinsoku/>
        <w:wordWrap/>
        <w:overflowPunct/>
        <w:topLinePunct w:val="0"/>
        <w:bidi w:val="0"/>
        <w:adjustRightInd/>
        <w:snapToGrid/>
        <w:spacing w:line="587" w:lineRule="exact"/>
        <w:ind w:firstLine="672" w:firstLineChars="200"/>
        <w:jc w:val="both"/>
        <w:textAlignment w:val="auto"/>
        <w:rPr>
          <w:rFonts w:hint="default" w:ascii="Times New Roman" w:hAnsi="Times New Roman" w:eastAsia="方正黑体_GBK" w:cs="Times New Roman"/>
          <w:w w:val="105"/>
          <w:sz w:val="32"/>
          <w:szCs w:val="32"/>
          <w:lang w:eastAsia="zh-CN"/>
        </w:rPr>
      </w:pPr>
      <w:r>
        <w:rPr>
          <w:rFonts w:hint="default" w:ascii="Times New Roman" w:hAnsi="Times New Roman" w:eastAsia="方正黑体_GBK" w:cs="Times New Roman"/>
          <w:w w:val="105"/>
          <w:sz w:val="32"/>
          <w:szCs w:val="32"/>
          <w:lang w:val="en-US" w:eastAsia="zh-CN"/>
        </w:rPr>
        <w:t>三</w:t>
      </w:r>
      <w:r>
        <w:rPr>
          <w:rFonts w:hint="default" w:ascii="Times New Roman" w:hAnsi="Times New Roman" w:eastAsia="方正黑体_GBK" w:cs="Times New Roman"/>
          <w:w w:val="105"/>
          <w:sz w:val="32"/>
          <w:szCs w:val="32"/>
          <w:lang w:eastAsia="zh-CN"/>
        </w:rPr>
        <w:t>、强化组织实施</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（一）加强组织领导</w:t>
      </w:r>
      <w:r>
        <w:rPr>
          <w:rFonts w:hint="default" w:ascii="Times New Roman" w:hAnsi="Times New Roman" w:eastAsia="方正仿宋_GBK" w:cs="Times New Roman"/>
          <w:sz w:val="32"/>
          <w:szCs w:val="40"/>
          <w:lang w:val="en-US" w:eastAsia="zh-CN" w:bidi="ar-SA"/>
        </w:rPr>
        <w:t>。发展改革部门要加强统筹协调，加大对退役风电、光伏设备循环利用工作的推进力度。各相关部门要按照职责分工，制定相关配套政策，形成协同推进合力。各地要充分认识退役风电、光伏设备循环利用的重要意义，采取有力措施强化政策落实，加快构建退役新能源设备循环利用体系，促进退役风电、光伏设备循环利用。风电、光伏设备生产、使用企业要落实退役新能源设备回收处置主体责任，设备生产、使用、回收处置企业要相互协同、密切配合，平衡好各方利益，切实做到能用尽用、能用不烧不埋不丢弃，实现双赢。</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（二）推进平台建设</w:t>
      </w:r>
      <w:r>
        <w:rPr>
          <w:rFonts w:hint="default" w:ascii="Times New Roman" w:hAnsi="Times New Roman" w:eastAsia="方正仿宋_GBK" w:cs="Times New Roman"/>
          <w:sz w:val="32"/>
          <w:szCs w:val="40"/>
          <w:lang w:val="en-US" w:eastAsia="zh-CN" w:bidi="ar-SA"/>
        </w:rPr>
        <w:t>。研究搭建退役新能源设备回收再生利用公共服务平台，整合并发布退役设备资源、处理能力、回收利用需求等市场信息。支持研究机构、行业组织和骨干企业共同搭建退役新能源零部件再制造检测验证平台，将退役新能源设备再制造与高值资源化技术研发纳入省级科技重点研发</w:t>
      </w:r>
      <w:r>
        <w:rPr>
          <w:rFonts w:hint="eastAsia" w:ascii="Times New Roman" w:hAnsi="Times New Roman" w:eastAsia="方正仿宋_GBK" w:cs="Times New Roman"/>
          <w:sz w:val="32"/>
          <w:szCs w:val="40"/>
          <w:lang w:val="en-US" w:eastAsia="zh-CN" w:bidi="ar-SA"/>
        </w:rPr>
        <w:t>计划</w:t>
      </w:r>
      <w:r>
        <w:rPr>
          <w:rFonts w:hint="default" w:ascii="Times New Roman" w:hAnsi="Times New Roman" w:eastAsia="方正仿宋_GBK" w:cs="Times New Roman"/>
          <w:sz w:val="32"/>
          <w:szCs w:val="40"/>
          <w:lang w:val="en-US" w:eastAsia="zh-CN" w:bidi="ar-SA"/>
        </w:rPr>
        <w:t>。制修订退役风电、光伏设备评价准则、处理标准、污染防治技术规范。</w:t>
      </w:r>
    </w:p>
    <w:p>
      <w:pPr>
        <w:pStyle w:val="2"/>
        <w:keepNext w:val="0"/>
        <w:keepLines w:val="0"/>
        <w:pageBreakBefore w:val="0"/>
        <w:widowControl w:val="0"/>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（三）加大政策支持。</w:t>
      </w:r>
      <w:r>
        <w:rPr>
          <w:rFonts w:hint="default" w:ascii="Times New Roman" w:hAnsi="Times New Roman" w:eastAsia="方正仿宋_GBK" w:cs="Times New Roman"/>
          <w:sz w:val="32"/>
          <w:szCs w:val="40"/>
          <w:lang w:val="en-US" w:eastAsia="zh-CN" w:bidi="ar-SA"/>
        </w:rPr>
        <w:t>充分利用国家和我省现有资金渠道，积极争取包括中央预算内投资在内的资金支持政策，加强对退役新能源设备循环利用产业化项目的资金支持。依法落实节能节水、固定资产加速折旧、资源综合利用产品增值税即征退等相关税收优惠政策。丰富绿色金融产品和服务，为符合条件的循环利用类项目提供融资便利，将退役新能源设备回收处理项目纳入绿色金融支持范围。</w:t>
      </w:r>
    </w:p>
    <w:p>
      <w:pPr>
        <w:pStyle w:val="2"/>
        <w:keepNext w:val="0"/>
        <w:keepLines w:val="0"/>
        <w:pageBreakBefore w:val="0"/>
        <w:widowControl w:val="0"/>
        <w:numPr>
          <w:ilvl w:val="0"/>
          <w:numId w:val="0"/>
        </w:numPr>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（四）开展示范试点</w:t>
      </w:r>
      <w:r>
        <w:rPr>
          <w:rFonts w:hint="default" w:ascii="Times New Roman" w:hAnsi="Times New Roman" w:eastAsia="方正仿宋_GBK" w:cs="Times New Roman"/>
          <w:sz w:val="32"/>
          <w:szCs w:val="40"/>
          <w:lang w:val="en-US" w:eastAsia="zh-CN" w:bidi="ar-SA"/>
        </w:rPr>
        <w:t>。统筹全省风电、光伏设备生产企业和风电、光伏发电企业分布，在沿海、沿江地区组织开展退役风电光伏设备回收利用处置项目示范试点，鼓励国有新能源开发企业先行先试。列入国家试点推进的如东县风力发电机组废叶片综合利用基地，要积极探索风力发电机组废叶片循环利用经验和模式。</w:t>
      </w:r>
    </w:p>
    <w:p>
      <w:pPr>
        <w:pStyle w:val="2"/>
        <w:keepNext w:val="0"/>
        <w:keepLines w:val="0"/>
        <w:pageBreakBefore w:val="0"/>
        <w:widowControl w:val="0"/>
        <w:numPr>
          <w:ilvl w:val="0"/>
          <w:numId w:val="0"/>
        </w:numPr>
        <w:kinsoku/>
        <w:wordWrap/>
        <w:overflowPunct/>
        <w:topLinePunct w:val="0"/>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40"/>
          <w:lang w:val="en-US" w:eastAsia="zh-CN" w:bidi="ar-SA"/>
        </w:rPr>
      </w:pPr>
      <w:r>
        <w:rPr>
          <w:rFonts w:hint="default" w:ascii="Times New Roman" w:hAnsi="Times New Roman" w:eastAsia="方正楷体_GBK" w:cs="Times New Roman"/>
          <w:sz w:val="32"/>
          <w:szCs w:val="40"/>
          <w:lang w:val="en-US" w:eastAsia="zh-CN" w:bidi="ar-SA"/>
        </w:rPr>
        <w:t>（五）强化宣传引导</w:t>
      </w:r>
      <w:r>
        <w:rPr>
          <w:rFonts w:hint="default" w:ascii="Times New Roman" w:hAnsi="Times New Roman" w:eastAsia="方正仿宋_GBK" w:cs="Times New Roman"/>
          <w:sz w:val="32"/>
          <w:szCs w:val="40"/>
          <w:lang w:val="en-US" w:eastAsia="zh-CN" w:bidi="ar-SA"/>
        </w:rPr>
        <w:t>。加大对退役风电、光伏设备循环利用优秀项目和典型案例的宣介力度，打造一批可借鉴、可复制的先进经验，运用各类交流平台交流推广先进技术和回收处置模式。及时发布行业报告，宣传典型经验和案例，引导行业健康发展。</w:t>
      </w:r>
    </w:p>
    <w:p>
      <w:pPr>
        <w:keepNext w:val="0"/>
        <w:keepLines w:val="0"/>
        <w:pageBreakBefore w:val="0"/>
        <w:widowControl w:val="0"/>
        <w:kinsoku/>
        <w:wordWrap/>
        <w:overflowPunct/>
        <w:topLinePunct w:val="0"/>
        <w:bidi w:val="0"/>
        <w:adjustRightInd/>
        <w:snapToGrid/>
        <w:spacing w:line="587" w:lineRule="exact"/>
        <w:textAlignment w:val="auto"/>
        <w:rPr>
          <w:rFonts w:hint="default" w:ascii="Times New Roman" w:hAnsi="Times New Roman" w:eastAsia="方正仿宋_GBK" w:cs="Times New Roman"/>
          <w:color w:val="FF0000"/>
          <w:sz w:val="30"/>
          <w:szCs w:val="30"/>
          <w:lang w:val="en-US" w:eastAsia="zh-CN"/>
        </w:rPr>
      </w:pPr>
    </w:p>
    <w:sectPr>
      <w:footerReference r:id="rId3" w:type="default"/>
      <w:pgSz w:w="11920" w:h="16850"/>
      <w:pgMar w:top="1701" w:right="1417" w:bottom="1984" w:left="1417" w:header="720" w:footer="1474"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rPr>
                              <w:rFonts w:hint="eastAsia" w:eastAsia="宋体"/>
                              <w:sz w:val="28"/>
                              <w:szCs w:val="28"/>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1</w:t>
                          </w:r>
                          <w:r>
                            <w:rPr>
                              <w:rFonts w:hint="eastAsia"/>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F4TI/QAQAAogMAAA4AAABkcnMv&#10;ZTJvRG9jLnhtbK1TzY7TMBC+I/EOlu80aaVFJWq6AlWLkBAgLfsAruM0lmyP5XGb9AXgDThx4c5z&#10;9TkYO0kXLZc9cHHmz9/M93myuR2sYScVUIOr+XJRcqachEa7Q80fvt69WnOGUbhGGHCq5meF/Hb7&#10;8sWm95VaQQemUYERiMOq9zXvYvRVUaDslBW4AK8cJVsIVkRyw6FogugJ3ZpiVZavix5C4wNIhUjR&#10;3ZjkE2J4DiC0rZZqB/JolYsjalBGRKKEnfbIt3natlUyfm5bVJGZmhPTmE9qQvY+ncV2I6pDEL7T&#10;chpBPGeEJ5ys0I6aXqF2Igp2DPofKKtlAIQ2LiTYYiSSFSEWy/KJNved8CpzIanRX0XH/wcrP52+&#10;BKYb2gTOnLD04Jcf3y8/f19+fWPLJE/vsaKqe091cXgHQyqd4kjBxHpog01f4sMoT+Ker+KqITKZ&#10;Lq1X63VJKUm52SGc4vG6DxjfK7AsGTUP9HpZVHH6iHEsnUtSNwd32hiKi8o41tf8zc3qJl+4Zgjc&#10;OOqRSIzDJisO+2FisIfmTMR62oCaO1p4zswHRwKnZZmNMBv72Tj6oA9d3qbUHv3bY6Rp8pCpwwg7&#10;NaanyzSnNUu78befqx5/re0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UAAAACACHTuJAihRm&#10;PNEAAACUAQAACwAAAAAAAAABACAAAABUAwAAX3JlbHMvLnJlbHNQSwECFAAKAAAAAACHTuJAAAAA&#10;AAAAAAAAAAAABgAAAAAAAAAAABAAAAAwAwAAX3JlbHMvUEsBAhQACgAAAAAAh07iQAAAAAAAAAAA&#10;AAAAAAQAAAAAAAAAAAAQAAAAFgAAAGRycy9QSwECFAAUAAAACACHTuJAYXhMj9ABAACiAwAADgAA&#10;AAAAAAABACAAAAA0AQAAZHJzL2Uyb0RvYy54bWxQSwECFAAUAAAACACHTuJAzql5uc8AAAAFAQAA&#10;DwAAAAAAAAABACAAAAA4AAAAZHJzL2Rvd25yZXYueG1sUEsFBgAAAAAGAAYAWQEAAHYFAAAAAA==&#10;">
              <v:fill on="f" focussize="0,0"/>
              <v:stroke on="f"/>
              <v:imagedata o:title=""/>
              <o:lock v:ext="edit" aspectratio="f"/>
              <v:textbox inset="0mm,0mm,0mm,0mm" style="mso-fit-shape-to-text:t;">
                <w:txbxContent>
                  <w:p>
                    <w:pPr>
                      <w:pStyle w:val="3"/>
                      <w:rPr>
                        <w:rFonts w:hint="eastAsia" w:eastAsia="宋体"/>
                        <w:sz w:val="28"/>
                        <w:szCs w:val="28"/>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1</w:t>
                    </w:r>
                    <w:r>
                      <w:rPr>
                        <w:rFonts w:hint="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C9B05A"/>
    <w:multiLevelType w:val="singleLevel"/>
    <w:tmpl w:val="33C9B05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1Y2E4NzU2OTliZjE3MDAzNDlhYzgxNjdiNGY0Y2UifQ=="/>
  </w:docVars>
  <w:rsids>
    <w:rsidRoot w:val="00000000"/>
    <w:rsid w:val="03A023D5"/>
    <w:rsid w:val="03F434D0"/>
    <w:rsid w:val="0711008E"/>
    <w:rsid w:val="080F12B4"/>
    <w:rsid w:val="096363ED"/>
    <w:rsid w:val="096373D1"/>
    <w:rsid w:val="09646C04"/>
    <w:rsid w:val="1D6A79BD"/>
    <w:rsid w:val="1E8236D8"/>
    <w:rsid w:val="1E8C597B"/>
    <w:rsid w:val="224F2994"/>
    <w:rsid w:val="233F7E6C"/>
    <w:rsid w:val="24331CCD"/>
    <w:rsid w:val="2F37768B"/>
    <w:rsid w:val="30142A37"/>
    <w:rsid w:val="304B5DA9"/>
    <w:rsid w:val="33945FB2"/>
    <w:rsid w:val="373C3F3D"/>
    <w:rsid w:val="387E2D8D"/>
    <w:rsid w:val="393606A9"/>
    <w:rsid w:val="3EF6B747"/>
    <w:rsid w:val="405967CD"/>
    <w:rsid w:val="43696BAD"/>
    <w:rsid w:val="4CE04BCE"/>
    <w:rsid w:val="4D062A7A"/>
    <w:rsid w:val="4D72471E"/>
    <w:rsid w:val="4E1A6C5C"/>
    <w:rsid w:val="54561884"/>
    <w:rsid w:val="57E00074"/>
    <w:rsid w:val="57FA0F76"/>
    <w:rsid w:val="59CB393A"/>
    <w:rsid w:val="5AA920E1"/>
    <w:rsid w:val="5BE725AE"/>
    <w:rsid w:val="5BE94BE5"/>
    <w:rsid w:val="5DEE3DFA"/>
    <w:rsid w:val="5E1831B8"/>
    <w:rsid w:val="5F769A02"/>
    <w:rsid w:val="66434ADC"/>
    <w:rsid w:val="67A415FA"/>
    <w:rsid w:val="6A3131C3"/>
    <w:rsid w:val="6BEEA6CB"/>
    <w:rsid w:val="6D23385E"/>
    <w:rsid w:val="6E001AFA"/>
    <w:rsid w:val="70E767B9"/>
    <w:rsid w:val="758B206A"/>
    <w:rsid w:val="798B6817"/>
    <w:rsid w:val="7B405C21"/>
    <w:rsid w:val="7CD51E1C"/>
    <w:rsid w:val="7F753465"/>
    <w:rsid w:val="B8DB658D"/>
    <w:rsid w:val="FDF911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pPr>
    <w:rPr>
      <w:rFonts w:ascii="宋体" w:hAnsi="宋体" w:eastAsia="宋体" w:cs="宋体"/>
      <w:sz w:val="22"/>
      <w:szCs w:val="22"/>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sz w:val="26"/>
      <w:szCs w:val="26"/>
    </w:r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80</TotalTime>
  <ScaleCrop>false</ScaleCrop>
  <LinksUpToDate>false</LinksUpToDate>
  <CharactersWithSpaces>0</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2014-10-30T12:08:00Z</dcterms:created>
  <dc:creator>lenovo</dc:creator>
  <cp:lastModifiedBy>uos</cp:lastModifiedBy>
  <cp:lastPrinted>2023-09-05T02:05:00Z</cp:lastPrinted>
  <dcterms:modified xsi:type="dcterms:W3CDTF">2023-09-11T13:31:04Z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163809F3DDB54161B60AF2A5CF4C72CA_12</vt:lpwstr>
  </property>
</Properties>
</file>